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600075" cy="9715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sz w:val="28"/>
          <w:szCs w:val="20"/>
          <w:lang w:eastAsia="ar-SA"/>
        </w:rPr>
        <w:t xml:space="preserve">                                                                                    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 xml:space="preserve">РАССКАЗОВСКИЙ ГОРОДСКОЙ СОВЕТ 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>НАРОДНЫХ ДЕПУТАТОВ ТАМБОВСКОЙ ОБЛАСТИ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 xml:space="preserve">(восьмой созыв – заседание </w:t>
      </w:r>
      <w:r>
        <w:rPr>
          <w:rFonts w:eastAsia="Times New Roman" w:cs="Times New Roman" w:ascii="Times New Roman" w:hAnsi="Times New Roman"/>
          <w:b/>
          <w:sz w:val="28"/>
          <w:szCs w:val="20"/>
        </w:rPr>
        <w:t>шестнадцатое</w:t>
      </w:r>
      <w:r>
        <w:rPr>
          <w:rFonts w:eastAsia="Times New Roman" w:cs="Times New Roman" w:ascii="Times New Roman" w:hAnsi="Times New Roman"/>
          <w:b/>
          <w:sz w:val="28"/>
          <w:szCs w:val="20"/>
        </w:rPr>
        <w:t>)</w:t>
      </w:r>
    </w:p>
    <w:p>
      <w:pPr>
        <w:pStyle w:val="Normal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0" w:leader="none"/>
        </w:tabs>
        <w:ind w:hanging="432" w:left="432"/>
        <w:jc w:val="center"/>
        <w:outlineLvl w:val="0"/>
        <w:rPr>
          <w:rFonts w:ascii="Times New Roman" w:hAnsi="Times New Roman" w:eastAsia="Times New Roman" w:cs="Times New Roman"/>
          <w:b/>
          <w:sz w:val="28"/>
          <w:szCs w:val="20"/>
        </w:rPr>
      </w:pPr>
      <w:r>
        <w:rPr>
          <w:rFonts w:eastAsia="Times New Roman" w:cs="Times New Roman" w:ascii="Times New Roman" w:hAnsi="Times New Roman"/>
          <w:b/>
          <w:sz w:val="28"/>
          <w:szCs w:val="20"/>
        </w:rPr>
        <w:t>Р Е Ш Е Н И Е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eastAsia="Times New Roman" w:cs="Times New Roman" w:ascii="Times New Roman" w:hAnsi="Times New Roman"/>
          <w:sz w:val="28"/>
          <w:szCs w:val="20"/>
        </w:rPr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>30 сентября 2026 г.</w:t>
        <w:tab/>
        <w:tab/>
        <w:tab/>
        <w:tab/>
        <w:tab/>
        <w:tab/>
        <w:tab/>
        <w:t xml:space="preserve">                     № </w:t>
      </w:r>
      <w:r>
        <w:rPr>
          <w:rFonts w:eastAsia="Times New Roman" w:cs="Times New Roman" w:ascii="Times New Roman" w:hAnsi="Times New Roman"/>
          <w:sz w:val="28"/>
          <w:szCs w:val="28"/>
        </w:rPr>
        <w:t>118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0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eastAsia="Times New Roman" w:cs="Times New Roman" w:ascii="Times New Roman" w:hAnsi="Times New Roman"/>
          <w:sz w:val="28"/>
          <w:szCs w:val="28"/>
        </w:rPr>
        <w:t>г. Рассказово</w:t>
        <w:tab/>
        <w:t xml:space="preserve">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ConsPlusTitlePage"/>
        <w:widowControl w:val="false"/>
        <w:suppressAutoHyphens w:val="true"/>
        <w:bidi w:val="0"/>
        <w:spacing w:lineRule="auto" w:line="240" w:before="0" w:after="0"/>
        <w:ind w:hanging="0" w:left="2438" w:right="2268"/>
        <w:jc w:val="both"/>
        <w:rPr/>
      </w:pPr>
      <w:r>
        <w:rPr>
          <w:rFonts w:ascii="Times New Roman" w:hAnsi="Times New Roman"/>
          <w:sz w:val="28"/>
          <w:szCs w:val="28"/>
        </w:rPr>
        <w:t>Об утверждении Положения «Об организации экологического воспитания и формирования экологической культуры в области обращения с твердыми коммунальными отходами»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color w:val="auto"/>
          <w:sz w:val="28"/>
          <w:szCs w:val="28"/>
        </w:rPr>
        <w:t xml:space="preserve">Рассмотрев проект решения «Об утверждении Положения «Об организации экологического воспитания и формирования экологической культуры в области обращения с твердыми коммунальными отходами», заключение постоянной комиссии </w:t>
      </w:r>
      <w:r>
        <w:rPr>
          <w:rFonts w:eastAsia="Times New Roman" w:cs="PT Astra Serif" w:ascii="Times New Roman" w:hAnsi="Times New Roman"/>
          <w:b w:val="false"/>
          <w:bCs w:val="false"/>
          <w:i w:val="false"/>
          <w:strike w:val="false"/>
          <w:dstrike w:val="false"/>
          <w:color w:val="000000"/>
          <w:sz w:val="28"/>
          <w:szCs w:val="28"/>
          <w:u w:val="none"/>
          <w:shd w:fill="FFFFFF" w:val="clear"/>
          <w:lang w:eastAsia="ru-RU"/>
        </w:rPr>
        <w:t>по развитию городского хозяйства, предпринимательству и землеустройству</w:t>
      </w:r>
      <w:r>
        <w:rPr>
          <w:rFonts w:ascii="Times New Roman" w:hAnsi="Times New Roman"/>
          <w:color w:val="auto"/>
          <w:sz w:val="28"/>
          <w:szCs w:val="28"/>
        </w:rPr>
        <w:t xml:space="preserve">, руководствуясь федеральными законами от 24.06.1998 № 89-ФЗ «Об отходах производства и потребления», 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hyperlink r:id="rId3" w:tgtFrame="Федеральный закон от 06.10.2003 N 131-ФЗ (ред. от 20.02.2026) Об общих принципах организации местного самоуправления в Российской Федерации">
        <w:r>
          <w:rPr>
            <w:rFonts w:ascii="Times New Roman" w:hAnsi="Times New Roman"/>
            <w:color w:val="auto"/>
            <w:sz w:val="28"/>
            <w:szCs w:val="28"/>
          </w:rPr>
          <w:t>пунктом 24 части 1 статьи 16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>
        <w:rPr>
          <w:rFonts w:cs="Times New Roman" w:ascii="Times New Roman" w:hAnsi="Times New Roman"/>
          <w:color w:val="auto"/>
          <w:sz w:val="28"/>
          <w:szCs w:val="28"/>
        </w:rPr>
        <w:t>,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val="auto"/>
          <w:sz w:val="28"/>
          <w:szCs w:val="28"/>
        </w:rPr>
        <w:t xml:space="preserve">Уставом городского округа города Рассказово Тамбовской области, </w:t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  <w:t>Рассказовский городской Совет народных депутатов Р Е Ш И Л:</w:t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  <w:t>1. Утвердить Положение «Об организации экологического воспитания и формирования экологической культуры в области обращения с твердыми коммунальными отходами» согласно приложению.</w:t>
      </w:r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ab/>
        <w:t>2</w:t>
      </w:r>
      <w:hyperlink r:id="rId4">
        <w:r>
          <w:rPr>
            <w:rFonts w:eastAsia="Arial CYR" w:cs="Times New Roman" w:ascii="Times New Roman" w:hAnsi="Times New Roman"/>
            <w:color w:val="auto"/>
            <w:kern w:val="2"/>
            <w:sz w:val="28"/>
            <w:szCs w:val="28"/>
            <w:lang w:eastAsia="zh-CN"/>
          </w:rPr>
          <w:t>. Настоящее решение вступает в силу после</w:t>
        </w:r>
        <w:r>
          <w:rPr>
            <w:rFonts w:eastAsia="Times New Roman" w:cs="Arial" w:ascii="Times New Roman" w:hAnsi="Times New Roman"/>
            <w:color w:val="auto"/>
            <w:kern w:val="2"/>
            <w:sz w:val="28"/>
            <w:szCs w:val="28"/>
            <w:lang w:eastAsia="zh-CN"/>
          </w:rPr>
          <w:t xml:space="preserve"> дня его официального опубликования</w:t>
        </w:r>
      </w:hyperlink>
      <w:r>
        <w:rPr>
          <w:rFonts w:eastAsia="Calibri" w:cs="Times New Roman" w:ascii="Times New Roman" w:hAnsi="Times New Roman"/>
          <w:color w:val="auto"/>
          <w:kern w:val="2"/>
          <w:sz w:val="28"/>
          <w:szCs w:val="28"/>
          <w:lang w:eastAsia="zh-CN"/>
        </w:rPr>
        <w:t xml:space="preserve"> </w:t>
      </w:r>
      <w:hyperlink r:id="rId5">
        <w:r>
          <w:rPr>
            <w:rFonts w:eastAsia="Arial CYR" w:cs="Times New Roman" w:ascii="Times New Roman" w:hAnsi="Times New Roman"/>
            <w:color w:val="auto"/>
            <w:sz w:val="28"/>
            <w:szCs w:val="28"/>
            <w:lang w:eastAsia="ru-RU"/>
          </w:rPr>
          <w:t>на сайте сетевого издания «РИА «ТОП68» (www.top68.ru) в информационно-телекоммуникационной сети Интернет.</w:t>
        </w:r>
      </w:hyperlink>
    </w:p>
    <w:p>
      <w:pPr>
        <w:pStyle w:val="Normal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ab/>
        <w:t>3</w:t>
      </w:r>
      <w:hyperlink r:id="rId6">
        <w:r>
          <w:rPr>
            <w:rFonts w:ascii="Times New Roman" w:hAnsi="Times New Roman"/>
            <w:color w:val="auto"/>
            <w:sz w:val="28"/>
            <w:szCs w:val="28"/>
          </w:rPr>
          <w:t xml:space="preserve">. Контроль за исполнением настоящего решения возложить на </w:t>
        </w:r>
        <w:r>
          <w:rPr>
            <w:rFonts w:eastAsia="Times New Roman" w:cs="PT Astra Serif" w:ascii="Times New Roman" w:hAnsi="Times New Roman"/>
            <w:b w:val="false"/>
            <w:bCs w:val="false"/>
            <w:i w:val="false"/>
            <w:strike w:val="false"/>
            <w:dstrike w:val="false"/>
            <w:color w:val="000000"/>
            <w:sz w:val="28"/>
            <w:szCs w:val="28"/>
            <w:u w:val="none"/>
            <w:shd w:fill="FFFFFF" w:val="clear"/>
            <w:lang w:eastAsia="ru-RU"/>
          </w:rPr>
          <w:t>по развитию городского хозяйства, предпринимательству и землеустройству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 </w:t>
        </w:r>
        <w:r>
          <w:rPr>
            <w:rFonts w:cs="" w:ascii="Times New Roman" w:hAnsi="Times New Roman" w:cstheme="minorBidi"/>
            <w:color w:val="auto"/>
            <w:sz w:val="28"/>
            <w:szCs w:val="28"/>
          </w:rPr>
          <w:t>(Помыканов</w:t>
        </w:r>
        <w:r>
          <w:rPr>
            <w:rFonts w:ascii="Times New Roman" w:hAnsi="Times New Roman"/>
            <w:color w:val="auto"/>
            <w:sz w:val="28"/>
            <w:szCs w:val="28"/>
          </w:rPr>
          <w:t xml:space="preserve">). </w:t>
        </w:r>
      </w:hyperlink>
    </w:p>
    <w:p>
      <w:pPr>
        <w:pStyle w:val="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tbl>
      <w:tblPr>
        <w:tblW w:w="980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146"/>
        <w:gridCol w:w="4653"/>
      </w:tblGrid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hyperlink r:id="rId7">
              <w:r>
                <w:rPr>
                  <w:rFonts w:ascii="Times New Roman" w:hAnsi="Times New Roman"/>
                  <w:color w:val="auto"/>
                  <w:sz w:val="28"/>
                  <w:szCs w:val="28"/>
                </w:rPr>
                <w:t>Глава города</w:t>
              </w:r>
            </w:hyperlink>
          </w:p>
        </w:tc>
        <w:tc>
          <w:tcPr>
            <w:tcW w:w="465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hyperlink r:id="rId8"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Председатель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городского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Совета</w:t>
              </w:r>
            </w:hyperlink>
          </w:p>
          <w:p>
            <w:pPr>
              <w:pStyle w:val="Normal"/>
              <w:widowControl w:val="false"/>
              <w:jc w:val="both"/>
              <w:rPr/>
            </w:pPr>
            <w:hyperlink r:id="rId9"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народных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депутатов</w:t>
              </w:r>
            </w:hyperlink>
          </w:p>
        </w:tc>
      </w:tr>
      <w:tr>
        <w:trPr/>
        <w:tc>
          <w:tcPr>
            <w:tcW w:w="5146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hyperlink r:id="rId10"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                                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>В.С.Соколова</w:t>
              </w:r>
            </w:hyperlink>
          </w:p>
        </w:tc>
        <w:tc>
          <w:tcPr>
            <w:tcW w:w="4653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/>
            </w:pPr>
            <w:hyperlink r:id="rId11"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 xml:space="preserve">                              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С.А.</w:t>
              </w:r>
              <w:r>
                <w:rPr>
                  <w:rFonts w:eastAsia="Times New Roman" w:cs="Times New Roman" w:ascii="Times New Roman" w:hAnsi="Times New Roman"/>
                  <w:color w:val="auto"/>
                  <w:sz w:val="28"/>
                  <w:szCs w:val="28"/>
                </w:rPr>
                <w:t xml:space="preserve"> </w:t>
              </w:r>
              <w:r>
                <w:rPr>
                  <w:rFonts w:eastAsia="Andale Sans UI" w:cs="Tahoma" w:ascii="Times New Roman" w:hAnsi="Times New Roman"/>
                  <w:color w:val="auto"/>
                  <w:sz w:val="28"/>
                  <w:szCs w:val="28"/>
                </w:rPr>
                <w:t>Свистунов</w:t>
              </w:r>
            </w:hyperlink>
          </w:p>
        </w:tc>
      </w:tr>
    </w:tbl>
    <w:p>
      <w:pPr>
        <w:pStyle w:val="Normal"/>
        <w:widowControl/>
        <w:tabs>
          <w:tab w:val="clear" w:pos="720"/>
          <w:tab w:val="left" w:pos="708" w:leader="none"/>
        </w:tabs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cs="Times New Roman" w:ascii="Times New Roman" w:hAnsi="Times New Roman"/>
          <w:color w:val="000000"/>
          <w:sz w:val="24"/>
          <w:szCs w:val="24"/>
          <w:highlight w:val="white"/>
        </w:rPr>
      </w:r>
    </w:p>
    <w:p>
      <w:pPr>
        <w:pStyle w:val="Normal"/>
        <w:widowControl/>
        <w:tabs>
          <w:tab w:val="clear" w:pos="720"/>
          <w:tab w:val="left" w:pos="708" w:leader="none"/>
        </w:tabs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cs="Times New Roman" w:ascii="Times New Roman" w:hAnsi="Times New Roman"/>
          <w:color w:val="000000"/>
          <w:sz w:val="24"/>
          <w:szCs w:val="24"/>
          <w:highlight w:val="white"/>
        </w:rPr>
      </w:r>
    </w:p>
    <w:p>
      <w:pPr>
        <w:pStyle w:val="Normal"/>
        <w:widowControl/>
        <w:tabs>
          <w:tab w:val="clear" w:pos="720"/>
          <w:tab w:val="left" w:pos="708" w:leader="none"/>
        </w:tabs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/>
      </w:r>
    </w:p>
    <w:p>
      <w:pPr>
        <w:pStyle w:val="Normal"/>
        <w:widowControl/>
        <w:tabs>
          <w:tab w:val="clear" w:pos="720"/>
          <w:tab w:val="left" w:pos="708" w:leader="none"/>
        </w:tabs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cs="Times New Roman" w:ascii="Times New Roman" w:hAnsi="Times New Roman"/>
          <w:color w:val="000000"/>
          <w:sz w:val="24"/>
          <w:szCs w:val="24"/>
          <w:highlight w:val="white"/>
        </w:rPr>
        <w:t xml:space="preserve">Приложение </w:t>
      </w:r>
    </w:p>
    <w:p>
      <w:pPr>
        <w:pStyle w:val="Normal"/>
        <w:widowControl/>
        <w:tabs>
          <w:tab w:val="clear" w:pos="720"/>
          <w:tab w:val="left" w:pos="708" w:leader="none"/>
        </w:tabs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Утверждено</w:t>
      </w:r>
    </w:p>
    <w:p>
      <w:pPr>
        <w:pStyle w:val="Normal"/>
        <w:widowControl/>
        <w:tabs>
          <w:tab w:val="clear" w:pos="720"/>
          <w:tab w:val="left" w:pos="708" w:leader="none"/>
        </w:tabs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cs="Times New Roman" w:ascii="Times New Roman" w:hAnsi="Times New Roman"/>
          <w:color w:val="000000"/>
          <w:sz w:val="24"/>
          <w:szCs w:val="24"/>
          <w:highlight w:val="white"/>
        </w:rPr>
        <w:t>решением Рассказовского городского</w:t>
      </w:r>
    </w:p>
    <w:p>
      <w:pPr>
        <w:pStyle w:val="1"/>
        <w:widowControl/>
        <w:suppressAutoHyphens w:val="true"/>
        <w:bidi w:val="0"/>
        <w:spacing w:before="0" w:after="0"/>
        <w:ind w:hanging="0" w:left="5669" w:right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color w:val="000000"/>
          <w:sz w:val="24"/>
          <w:szCs w:val="24"/>
          <w:shd w:fill="FFFFFF" w:val="clear"/>
        </w:rPr>
        <w:t>Совета народных депутатов</w:t>
      </w:r>
    </w:p>
    <w:p>
      <w:pPr>
        <w:pStyle w:val="1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5669" w:right="0"/>
        <w:jc w:val="both"/>
        <w:outlineLvl w:val="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от 30.09.2026 № </w:t>
      </w:r>
      <w:r>
        <w:rPr>
          <w:color w:val="000000"/>
          <w:sz w:val="24"/>
          <w:szCs w:val="24"/>
          <w:highlight w:val="white"/>
        </w:rPr>
        <w:t>118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Положение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>«Об организации экологического воспитания и формирования экологической культуры в области обращения с твердыми коммунальными отходами»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Общие положения</w:t>
      </w:r>
    </w:p>
    <w:p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 xml:space="preserve">1.1. Настоящее Положение разработано в соответствии с Федеральными </w:t>
      </w:r>
      <w:hyperlink r:id="rId12" w:tgtFrame="Федеральный закон от 24.06.1998 N 89-ФЗ (ред. от 23.03.2026) Об отходах производства и потребления">
        <w:r>
          <w:rPr>
            <w:rFonts w:ascii="Times New Roman" w:hAnsi="Times New Roman"/>
            <w:color w:val="auto"/>
            <w:sz w:val="28"/>
            <w:szCs w:val="28"/>
          </w:rPr>
          <w:t>закон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ами от 24.06.1998 № 89-ФЗ «Об отходах производства и потребления»,  от 06.10.2003 № 131-ФЗ «Об общих принципах организации местного самоуправления в Российской Федерации», </w:t>
      </w:r>
      <w:r>
        <w:rPr>
          <w:rFonts w:cs="Times New Roman" w:ascii="Times New Roman" w:hAnsi="Times New Roman"/>
          <w:color w:val="auto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/>
          <w:color w:val="auto"/>
          <w:sz w:val="28"/>
          <w:szCs w:val="28"/>
        </w:rPr>
        <w:t xml:space="preserve">  и определяет правовые и организационные основы реализации органами местного самоуправления города Рассказово Тамбовской области полномочий по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>
      <w:pPr>
        <w:pStyle w:val="ConsPlusNormal"/>
        <w:ind w:firstLine="540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 xml:space="preserve">1.2. При осуществлении мероприятий по организации экологического воспитания и формирования экологической культуры в области обращения с твердыми коммунальными отходами участники такой деятельности руководствуются </w:t>
      </w:r>
      <w:hyperlink r:id="rId13" w:tgtFrame="&quot;Конституция Российской Федерации">
        <w:r>
          <w:rPr>
            <w:rFonts w:ascii="Times New Roman" w:hAnsi="Times New Roman"/>
            <w:color w:val="auto"/>
            <w:sz w:val="28"/>
            <w:szCs w:val="28"/>
          </w:rPr>
          <w:t>Конституцией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Российской Федерации, федеральными законами, иными нормативными правовыми актами, а также настоящим Положением.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 Цели и задачи</w:t>
      </w:r>
    </w:p>
    <w:p>
      <w:pPr>
        <w:pStyle w:val="ConsPlus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2.1. Основными целями осуществления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экологическое просвещение, экологическое воспитание и формирование экологической культуры в области обращения с твердыми коммунальными отходами;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уменьшение правонарушений в области обращения с твердыми коммунальными отходами и устранение причин, порождающих такие правонарушения, и условий, способствующих совершению таких правонарушений или облегчающих их совершение;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повышение уровня правовой грамотности и развитие правосознания граждан.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2.2. Основными задачами при осуществлении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формирование экологической культуры и экологического сознания различных слоев населения путем просветительской деятельности;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обеспечение свободного доступа населения к экологической информации и информации в сфере обращения с твердыми коммунальными отходами;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воспитание бережного отношения к природе и рациональному использованию природных ресурсов;</w:t>
      </w:r>
    </w:p>
    <w:p>
      <w:pPr>
        <w:pStyle w:val="ConsPlusNormal"/>
        <w:ind w:firstLine="540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>- профилактика правонарушений, направленная на выявление и устранение причин, порождающих правонарушения, и условий, способствующих совершению правонарушений или облегчающих их совершение, а также на повышение уровня правовой грамотности и развитие правосознания граждан.</w:t>
      </w:r>
    </w:p>
    <w:p>
      <w:pPr>
        <w:pStyle w:val="ConsPlusNormal"/>
        <w:ind w:firstLine="540"/>
        <w:jc w:val="both"/>
        <w:rPr/>
      </w:pPr>
      <w:r>
        <w:rPr>
          <w:rFonts w:ascii="Times New Roman" w:hAnsi="Times New Roman"/>
          <w:color w:val="auto"/>
          <w:sz w:val="28"/>
          <w:szCs w:val="28"/>
        </w:rPr>
        <w:t xml:space="preserve">2.3. Достижение задач, перечисленных в </w:t>
      </w:r>
      <w:hyperlink w:anchor="P53" w:tgtFrame="2.2. Основными задачами при осуществлении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ются:">
        <w:r>
          <w:rPr>
            <w:rFonts w:ascii="Times New Roman" w:hAnsi="Times New Roman"/>
            <w:color w:val="auto"/>
            <w:sz w:val="28"/>
            <w:szCs w:val="28"/>
          </w:rPr>
          <w:t>пункте 2.2</w:t>
        </w:r>
      </w:hyperlink>
      <w:r>
        <w:rPr>
          <w:rFonts w:ascii="Times New Roman" w:hAnsi="Times New Roman"/>
          <w:color w:val="auto"/>
          <w:sz w:val="28"/>
          <w:szCs w:val="28"/>
        </w:rPr>
        <w:t xml:space="preserve"> настоящего Положения, обеспечивается путем утверждения планов и программ по организации экологического воспитания и формирования экологической культуры в области обращения с твердыми коммунальными отходами и организации их выполнения.</w:t>
      </w:r>
    </w:p>
    <w:p>
      <w:pPr>
        <w:pStyle w:val="ConsPlus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3. Организация экологического воспитания и формирования</w:t>
      </w:r>
    </w:p>
    <w:p>
      <w:pPr>
        <w:pStyle w:val="ConsPlusTitle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экологической культуры в области обращения с твердыми</w:t>
      </w:r>
    </w:p>
    <w:p>
      <w:pPr>
        <w:pStyle w:val="ConsPlusTitle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коммунальными отходами</w:t>
      </w:r>
    </w:p>
    <w:p>
      <w:pPr>
        <w:pStyle w:val="ConsPlus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3.1. В рамках реализации полномочий по организации экологического воспитания и формирования экологической культуры в области обращения с твердыми коммунальными отходами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Рассказовским</w:t>
      </w:r>
      <w:r>
        <w:rPr>
          <w:rFonts w:ascii="Times New Roman" w:hAnsi="Times New Roman"/>
          <w:color w:val="auto"/>
          <w:sz w:val="28"/>
          <w:szCs w:val="28"/>
        </w:rPr>
        <w:t xml:space="preserve"> городским Советом народных депутатов Тамбовской области предусматривает необходимые средства в бюджете на соответствующий финансовый год и плановый период, а также осуществляет контроль за их исполнением.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3.2. Администрация города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Рассказово</w:t>
      </w:r>
      <w:r>
        <w:rPr>
          <w:rFonts w:ascii="Times New Roman" w:hAnsi="Times New Roman"/>
          <w:color w:val="auto"/>
          <w:sz w:val="28"/>
          <w:szCs w:val="28"/>
        </w:rPr>
        <w:t xml:space="preserve"> осуществляет следующие полномочия по организации экологического воспитания и формирования экологической культуры в области обращения с твердыми коммунальными отходами: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разрабатывает, утверждает и обеспечивает реализацию муниципальной программы (подпрограммы), предусматривающей мероприятия по организации экологического воспитания и формирования экологической культуры в области обращения с твердыми коммунальными отходами (далее — Программа);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организует проведение мероприятий в рамках утвержденной Программы;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осуществляет деятельность по профилактике правонарушений, направленную на выявление и устранение причин, порождающих правонарушения, и условий, способствующих совершению правонарушений или облегчающих их совершение, а также на повышение уровня правовой грамотности и развитие правосознания граждан;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анализирует эффективность участия органов местного самоуправления в деятельности по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/>
      </w:pPr>
      <w:r>
        <w:rPr>
          <w:rFonts w:ascii="Times New Roman" w:hAnsi="Times New Roman"/>
          <w:color w:val="auto"/>
          <w:sz w:val="28"/>
          <w:szCs w:val="28"/>
        </w:rPr>
        <w:t>4. Порядок реализации полномочий по организации</w:t>
      </w:r>
    </w:p>
    <w:p>
      <w:pPr>
        <w:pStyle w:val="ConsPlusTitle"/>
        <w:jc w:val="center"/>
        <w:rPr/>
      </w:pPr>
      <w:r>
        <w:rPr>
          <w:rFonts w:ascii="Times New Roman" w:hAnsi="Times New Roman"/>
          <w:color w:val="auto"/>
          <w:sz w:val="28"/>
          <w:szCs w:val="28"/>
        </w:rPr>
        <w:t>экологического воспитания и формирования экологической</w:t>
      </w:r>
    </w:p>
    <w:p>
      <w:pPr>
        <w:pStyle w:val="ConsPlusTitle"/>
        <w:jc w:val="center"/>
        <w:rPr/>
      </w:pPr>
      <w:r>
        <w:rPr>
          <w:rFonts w:ascii="Times New Roman" w:hAnsi="Times New Roman"/>
          <w:color w:val="auto"/>
          <w:sz w:val="28"/>
          <w:szCs w:val="28"/>
        </w:rPr>
        <w:t>культуры в области обращения с твердыми коммунальными отходами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4.1. Разработка, формирование, реализация и определение критериев оценки эффективности Программы, а также контроль за ходом ее реализации осуществляются в порядке, установленном постановлением администрации города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Рассказово</w:t>
      </w:r>
      <w:r>
        <w:rPr>
          <w:rFonts w:ascii="Times New Roman" w:hAnsi="Times New Roman"/>
          <w:color w:val="auto"/>
          <w:sz w:val="28"/>
          <w:szCs w:val="28"/>
        </w:rPr>
        <w:t>.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4.2. К основным мероприятиям программы относятся: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экологические акции различного характера, в том числе направленные на поддержание санитарного порядка, воспитания бережного отношения к природе, предотвращения вредного воздействия отходов производства и потребления на здоровье человека и окружающую среду и пр.;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мероприятия по правовому просвещению и правовому информированию, направленные на популяризацию знаний природоохранного и экологического законодательства Российской Федерации (в том числе проведение теоретических и практических обучающих занятий, семинаров, круглых столов и др.);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распространение и пропаганда экологических знаний, в том числе с использованием средств массовой информации и телекоммуникационной сети Интернет, путем изготовления и распространения брошюр, плакатов, буклетов и иной печатной продукции;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распространение информационных материалов, разъясняющих правила обращения с твердыми коммунальными отходами, в том числе с использованием средств массовой информации и в информационно-телекоммуникационной сети «Интернет», путем изготовления и распространения брошюр, плакатов, буклетов и иной печатной продукции;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приобретение материально-технических средств, необходимых при проведении мероприятий, связанных с экологическим просвещением, формированием экологической культуры;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иные мероприятия, направленные на реализацию вопроса местного значения, не противоречащие действующему законодательству.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4.3. Проведение мероприятий может осуществляться как силами администрации города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Рассказово</w:t>
      </w:r>
      <w:r>
        <w:rPr>
          <w:rFonts w:ascii="Times New Roman" w:hAnsi="Times New Roman"/>
          <w:color w:val="auto"/>
          <w:sz w:val="28"/>
          <w:szCs w:val="28"/>
        </w:rPr>
        <w:t>, так и силами организаций, посредством заключения контрактов (договоров), соглашений о взаимодействии и сотрудничестве.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4.4. Формирование планов реализации полномочий по организации экологического воспитания и формирования экологической культуры в области обращения с твердыми коммунальными отходами осуществляется в целях взаимодействия лиц, участвующих в экологическом образовании, просвещении, в сфере обращения с твердыми коммунальными отходами на территории города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Рассказово</w:t>
      </w:r>
      <w:r>
        <w:rPr>
          <w:rFonts w:ascii="Times New Roman" w:hAnsi="Times New Roman"/>
          <w:color w:val="auto"/>
          <w:sz w:val="28"/>
          <w:szCs w:val="28"/>
        </w:rPr>
        <w:t xml:space="preserve">, а также для привлечения представителей различных организаций и общественных объединений, осуществляющих свою деятельность на территории муниципального образования, жителей города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Рассказово</w:t>
      </w:r>
      <w:r>
        <w:rPr>
          <w:rFonts w:ascii="Times New Roman" w:hAnsi="Times New Roman"/>
          <w:color w:val="auto"/>
          <w:sz w:val="28"/>
          <w:szCs w:val="28"/>
        </w:rPr>
        <w:t xml:space="preserve"> к реализации указанных полномочий.</w:t>
      </w:r>
    </w:p>
    <w:p>
      <w:pPr>
        <w:pStyle w:val="ConsPlusNormal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hanging="0" w:left="0"/>
        <w:jc w:val="center"/>
        <w:outlineLvl w:val="1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5. Финансовое обеспечение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5.1. Реализация полномочий по организации экологического воспитания и формирования экологической культуры в области обращения с твердыми коммунальными отходами является расходным обязательством муниципального образования, подлежащих исполнению за счет местного бюджета.</w:t>
      </w:r>
    </w:p>
    <w:p>
      <w:pPr>
        <w:pStyle w:val="ConsPlusNormal"/>
        <w:ind w:firstLine="5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5.2. Объем денежных средств на реализацию расходных обязательств предусматривается Программой и утверждается решением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Рассказовского</w:t>
      </w:r>
      <w:r>
        <w:rPr>
          <w:rFonts w:ascii="Times New Roman" w:hAnsi="Times New Roman"/>
          <w:color w:val="auto"/>
          <w:sz w:val="28"/>
          <w:szCs w:val="28"/>
        </w:rPr>
        <w:t xml:space="preserve"> городского Совета народных депутатов Тамбовской области о бюджете города </w:t>
      </w:r>
      <w:r>
        <w:rPr>
          <w:rFonts w:cs="Arial" w:ascii="Times New Roman" w:hAnsi="Times New Roman"/>
          <w:color w:val="auto"/>
          <w:sz w:val="28"/>
          <w:szCs w:val="28"/>
          <w:lang w:val="ru-RU" w:eastAsia="ru-RU" w:bidi="ar-SA"/>
        </w:rPr>
        <w:t>Рассказово</w:t>
      </w:r>
      <w:r>
        <w:rPr>
          <w:rFonts w:ascii="Times New Roman" w:hAnsi="Times New Roman"/>
          <w:color w:val="auto"/>
          <w:sz w:val="28"/>
          <w:szCs w:val="28"/>
        </w:rPr>
        <w:t xml:space="preserve"> на соответствующий финансовый год и плановый период.</w:t>
      </w:r>
    </w:p>
    <w:sectPr>
      <w:type w:val="nextPage"/>
      <w:pgSz w:w="11906" w:h="16838"/>
      <w:pgMar w:left="1701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basedOn w:val="DefaultParagraphFont"/>
    <w:uiPriority w:val="99"/>
    <w:semiHidden/>
    <w:unhideWhenUsed/>
    <w:rsid w:val="00c972aa"/>
    <w:rPr>
      <w:color w:val="0000FF"/>
      <w:u w:val="single"/>
    </w:rPr>
  </w:style>
  <w:style w:type="character" w:styleId="Style14" w:customStyle="1">
    <w:name w:val="Текст выноски Знак"/>
    <w:basedOn w:val="DefaultParagraphFont"/>
    <w:uiPriority w:val="99"/>
    <w:semiHidden/>
    <w:qFormat/>
    <w:rsid w:val="00c972aa"/>
    <w:rPr>
      <w:rFonts w:ascii="Tahoma" w:hAnsi="Tahoma" w:cs="Tahoma"/>
      <w:sz w:val="16"/>
      <w:szCs w:val="16"/>
    </w:rPr>
  </w:style>
  <w:style w:type="character" w:styleId="Style15" w:customStyle="1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unhideWhenUsed/>
    <w:qFormat/>
    <w:rsid w:val="00c972a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c972aa"/>
    <w:pPr/>
    <w:rPr>
      <w:rFonts w:ascii="Tahoma" w:hAnsi="Tahoma" w:cs="Tahoma"/>
      <w:sz w:val="16"/>
      <w:szCs w:val="16"/>
    </w:rPr>
  </w:style>
  <w:style w:type="paragraph" w:styleId="ConsPlusDocList" w:customStyle="1">
    <w:name w:val="ConsPlusDocList"/>
    <w:next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Arial" w:cs="Arial" w:asciiTheme="minorHAnsi" w:hAnsiTheme="minorHAnsi"/>
      <w:color w:val="auto"/>
      <w:kern w:val="0"/>
      <w:sz w:val="20"/>
      <w:szCs w:val="20"/>
      <w:lang w:val="ru-RU" w:eastAsia="en-US" w:bidi="ar-SA"/>
    </w:rPr>
  </w:style>
  <w:style w:type="paragraph" w:styleId="ConsPlusTitlePage">
    <w:name w:val="ConsPlusTitlePag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Calibri" w:cs="Tahoma" w:eastAsiaTheme="minorHAnsi"/>
      <w:color w:val="auto"/>
      <w:kern w:val="0"/>
      <w:sz w:val="20"/>
      <w:szCs w:val="22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2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b/>
      <w:color w:val="auto"/>
      <w:kern w:val="0"/>
      <w:sz w:val="20"/>
      <w:szCs w:val="22"/>
      <w:lang w:val="ru-RU" w:eastAsia="ru-RU" w:bidi="ar-SA"/>
    </w:rPr>
  </w:style>
  <w:style w:type="paragraph" w:styleId="1">
    <w:name w:val="Обычный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A"/>
      <w:kern w:val="2"/>
      <w:sz w:val="24"/>
      <w:szCs w:val="24"/>
      <w:lang w:val="ru-RU" w:eastAsia="zh-CN" w:bidi="ar-SA"/>
    </w:rPr>
  </w:style>
  <w:style w:type="paragraph" w:styleId="Style18">
    <w:name w:val="Колонтитул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Style18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./%7B&#1050;&#1086;&#1085;&#1089;&#1091;&#1083;&#1100;&#1090;&#1072;&#1085;&#1090;&#1055;&#1083;&#1102;&#1089;%7D" TargetMode="External"/><Relationship Id="rId4" Type="http://schemas.openxmlformats.org/officeDocument/2006/relationships/hyperlink" Target="https://login.consultant.ru/link/?req=doc&amp;base=RZR&amp;n=532963&amp;dst=339" TargetMode="External"/><Relationship Id="rId5" Type="http://schemas.openxmlformats.org/officeDocument/2006/relationships/hyperlink" Target="https://login.consultant.ru/link/?req=doc&amp;base=RZR&amp;n=532963&amp;dst=339" TargetMode="External"/><Relationship Id="rId6" Type="http://schemas.openxmlformats.org/officeDocument/2006/relationships/hyperlink" Target="https://login.consultant.ru/link/?req=doc&amp;base=RZR&amp;n=532963&amp;dst=339" TargetMode="External"/><Relationship Id="rId7" Type="http://schemas.openxmlformats.org/officeDocument/2006/relationships/hyperlink" Target="https://login.consultant.ru/link/?req=doc&amp;base=RZR&amp;n=532963&amp;dst=339" TargetMode="External"/><Relationship Id="rId8" Type="http://schemas.openxmlformats.org/officeDocument/2006/relationships/hyperlink" Target="https://login.consultant.ru/link/?req=doc&amp;base=RZR&amp;n=532963&amp;dst=339" TargetMode="External"/><Relationship Id="rId9" Type="http://schemas.openxmlformats.org/officeDocument/2006/relationships/hyperlink" Target="https://login.consultant.ru/link/?req=doc&amp;base=RZR&amp;n=532963&amp;dst=339" TargetMode="External"/><Relationship Id="rId10" Type="http://schemas.openxmlformats.org/officeDocument/2006/relationships/hyperlink" Target="https://login.consultant.ru/link/?req=doc&amp;base=RZR&amp;n=532963&amp;dst=339" TargetMode="External"/><Relationship Id="rId11" Type="http://schemas.openxmlformats.org/officeDocument/2006/relationships/hyperlink" Target="https://login.consultant.ru/link/?req=doc&amp;base=RZR&amp;n=532963&amp;dst=339" TargetMode="External"/><Relationship Id="rId12" Type="http://schemas.openxmlformats.org/officeDocument/2006/relationships/hyperlink" Target="./%7B&#1050;&#1086;&#1085;&#1089;&#1091;&#1083;&#1100;&#1090;&#1072;&#1085;&#1090;&#1055;&#1083;&#1102;&#1089;%7D" TargetMode="External"/><Relationship Id="rId13" Type="http://schemas.openxmlformats.org/officeDocument/2006/relationships/hyperlink" Target="./%7B&#1050;&#1086;&#1085;&#1089;&#1091;&#1083;&#1100;&#1090;&#1072;&#1085;&#1090;&#1055;&#1083;&#1102;&#1089;%7D" TargetMode="Externa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E1AF3-2CA4-45FB-827F-DFD35E22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Application>LibreOffice/24.2.1.2$Windows_X86_64 LibreOffice_project/db4def46b0453cc22e2d0305797cf981b68ef5ac</Application>
  <AppVersion>15.0000</AppVersion>
  <Pages>4</Pages>
  <Words>1090</Words>
  <Characters>8397</Characters>
  <CharactersWithSpaces>9672</CharactersWithSpaces>
  <Paragraphs>64</Paragraphs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2026-09-11T14:45:00Z</dcterms:created>
  <dc:creator>СЕКРЕТАРЬ</dc:creator>
  <dc:description/>
  <dc:language>ru-RU</dc:language>
  <cp:lastModifiedBy/>
  <cp:lastPrinted>2026-10-01T09:54:18Z</cp:lastPrinted>
  <dcterms:modified xsi:type="dcterms:W3CDTF">2026-10-01T09:54:22Z</dcterms:modified>
  <cp:revision>98</cp:revision>
  <dc:subject/>
  <dc:title>Решение Совета депутатов Сосновского муниципального округа Тамбовской области от 22.09.2023 N 32(ред. от 30.07.2026)"О создании Контрольно-ревизионной комиссии Сосновского муниципального округа Тамбовской области"(вместе с "Положением о Контрольно-ревизионной комиссии Сосновского муниципального округа Тамбовской области")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