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45" w:type="dxa"/>
        <w:jc w:val="left"/>
        <w:tblInd w:w="36" w:type="dxa"/>
        <w:tblBorders/>
        <w:tblCellMar>
          <w:top w:w="0" w:type="dxa"/>
          <w:left w:w="54" w:type="dxa"/>
          <w:bottom w:w="0" w:type="dxa"/>
          <w:right w:w="54" w:type="dxa"/>
        </w:tblCellMar>
        <w:tblLook w:firstRow="1" w:noVBand="1" w:lastRow="0" w:firstColumn="1" w:lastColumn="0" w:noHBand="0" w:val="04a0"/>
      </w:tblPr>
      <w:tblGrid>
        <w:gridCol w:w="4573"/>
        <w:gridCol w:w="5071"/>
      </w:tblGrid>
      <w:tr>
        <w:trPr>
          <w:trHeight w:val="1" w:hRule="atLeast"/>
        </w:trPr>
        <w:tc>
          <w:tcPr>
            <w:tcW w:w="4573" w:type="dxa"/>
            <w:tcBorders/>
            <w:shd w:color="auto" w:fill="FFFFFF" w:val="clear"/>
          </w:tcPr>
          <w:p>
            <w:pPr>
              <w:pStyle w:val="Normal"/>
              <w:tabs>
                <w:tab w:val="left" w:pos="708" w:leader="none"/>
              </w:tabs>
              <w:jc w:val="center"/>
              <w:rPr>
                <w:rFonts w:cs="Calibri"/>
              </w:rPr>
            </w:pPr>
            <w:r>
              <w:rPr>
                <w:rFonts w:cs="Calibri"/>
              </w:rPr>
            </w:r>
          </w:p>
        </w:tc>
        <w:tc>
          <w:tcPr>
            <w:tcW w:w="5071" w:type="dxa"/>
            <w:tcBorders/>
            <w:shd w:color="auto" w:fill="FFFFFF" w:val="clear"/>
          </w:tcPr>
          <w:p>
            <w:pPr>
              <w:pStyle w:val="Normal"/>
              <w:tabs>
                <w:tab w:val="left" w:pos="708" w:leader="none"/>
              </w:tabs>
              <w:jc w:val="center"/>
              <w:rPr>
                <w:rFonts w:ascii="Times New Roman" w:hAnsi="Times New Roman"/>
                <w:color w:val="00000A"/>
                <w:sz w:val="28"/>
              </w:rPr>
            </w:pPr>
            <w:r>
              <w:rPr>
                <w:rFonts w:ascii="Times New Roman" w:hAnsi="Times New Roman"/>
                <w:color w:val="00000A"/>
                <w:sz w:val="28"/>
              </w:rPr>
              <w:t>Приложение №1</w:t>
            </w:r>
          </w:p>
          <w:p>
            <w:pPr>
              <w:pStyle w:val="Normal"/>
              <w:tabs>
                <w:tab w:val="left" w:pos="708" w:leader="none"/>
              </w:tabs>
              <w:jc w:val="center"/>
              <w:rPr>
                <w:rFonts w:ascii="Times New Roman" w:hAnsi="Times New Roman"/>
                <w:color w:val="00000A"/>
                <w:sz w:val="28"/>
              </w:rPr>
            </w:pPr>
            <w:r>
              <w:rPr>
                <w:rFonts w:ascii="Times New Roman" w:hAnsi="Times New Roman"/>
                <w:color w:val="00000A"/>
                <w:sz w:val="28"/>
              </w:rPr>
              <w:t>УТВЕРЖДЕНА</w:t>
            </w:r>
          </w:p>
          <w:p>
            <w:pPr>
              <w:pStyle w:val="Normal"/>
              <w:tabs>
                <w:tab w:val="left" w:pos="708" w:leader="none"/>
              </w:tabs>
              <w:jc w:val="center"/>
              <w:rPr>
                <w:rFonts w:ascii="Times New Roman" w:hAnsi="Times New Roman"/>
                <w:color w:val="00000A"/>
                <w:sz w:val="28"/>
              </w:rPr>
            </w:pPr>
            <w:r>
              <w:rPr>
                <w:rFonts w:ascii="Times New Roman" w:hAnsi="Times New Roman"/>
                <w:color w:val="00000A"/>
                <w:sz w:val="28"/>
              </w:rPr>
              <w:t>постановлением администрации города</w:t>
            </w:r>
          </w:p>
          <w:p>
            <w:pPr>
              <w:pStyle w:val="Normal"/>
              <w:tabs>
                <w:tab w:val="left" w:pos="708" w:leader="none"/>
              </w:tabs>
              <w:jc w:val="center"/>
              <w:rPr/>
            </w:pPr>
            <w:r>
              <w:rPr>
                <w:rFonts w:ascii="Times New Roman" w:hAnsi="Times New Roman"/>
                <w:color w:val="00000A"/>
                <w:sz w:val="28"/>
              </w:rPr>
              <w:t xml:space="preserve">от  </w:t>
            </w:r>
            <w:r>
              <w:rPr>
                <w:rFonts w:ascii="Times New Roman" w:hAnsi="Times New Roman"/>
                <w:color w:val="00000A"/>
                <w:sz w:val="28"/>
              </w:rPr>
              <w:t>31.01.2025</w:t>
            </w:r>
            <w:r>
              <w:rPr>
                <w:rFonts w:ascii="Times New Roman" w:hAnsi="Times New Roman"/>
                <w:color w:val="00000A"/>
                <w:sz w:val="28"/>
              </w:rPr>
              <w:t xml:space="preserve">                       №  </w:t>
            </w:r>
            <w:r>
              <w:rPr>
                <w:rFonts w:ascii="Times New Roman" w:hAnsi="Times New Roman"/>
                <w:color w:val="00000A"/>
                <w:sz w:val="28"/>
              </w:rPr>
              <w:t>126</w:t>
            </w:r>
          </w:p>
        </w:tc>
      </w:tr>
    </w:tbl>
    <w:p>
      <w:pPr>
        <w:pStyle w:val="Normal"/>
        <w:jc w:val="center"/>
        <w:rPr>
          <w:rFonts w:cs="Calibri"/>
        </w:rPr>
      </w:pPr>
      <w:r>
        <w:rPr>
          <w:rFonts w:cs="Calibri"/>
        </w:rPr>
      </w:r>
    </w:p>
    <w:p>
      <w:pPr>
        <w:pStyle w:val="Normal"/>
        <w:jc w:val="center"/>
        <w:rPr/>
      </w:pPr>
      <w:r>
        <w:rPr>
          <w:rFonts w:ascii="Times New Roman" w:hAnsi="Times New Roman"/>
          <w:sz w:val="28"/>
          <w:szCs w:val="28"/>
        </w:rPr>
        <w:t xml:space="preserve">Муниципальная </w:t>
      </w:r>
      <w:hyperlink w:anchor="P34">
        <w:r>
          <w:rPr>
            <w:rStyle w:val="Style15"/>
            <w:rFonts w:ascii="Times New Roman" w:hAnsi="Times New Roman"/>
            <w:sz w:val="28"/>
            <w:szCs w:val="28"/>
          </w:rPr>
          <w:t>программ</w:t>
        </w:r>
      </w:hyperlink>
      <w:r>
        <w:rPr>
          <w:rFonts w:ascii="Times New Roman" w:hAnsi="Times New Roman"/>
          <w:sz w:val="28"/>
          <w:szCs w:val="28"/>
        </w:rPr>
        <w:t>а города Рассказово Тамбовской области  «Активное долголетие» на 2025 – 2030 годы</w:t>
      </w:r>
    </w:p>
    <w:p>
      <w:pPr>
        <w:pStyle w:val="Normal"/>
        <w:tabs>
          <w:tab w:val="left" w:pos="708" w:leader="none"/>
        </w:tabs>
        <w:jc w:val="center"/>
        <w:rPr>
          <w:rFonts w:ascii="Times New Roman" w:hAnsi="Times New Roman"/>
          <w:sz w:val="24"/>
        </w:rPr>
      </w:pPr>
      <w:r>
        <w:rPr>
          <w:rFonts w:ascii="Times New Roman" w:hAnsi="Times New Roman"/>
          <w:sz w:val="24"/>
        </w:rPr>
        <w:t xml:space="preserve"> </w:t>
      </w:r>
      <w:r>
        <w:rPr>
          <w:rFonts w:ascii="Times New Roman" w:hAnsi="Times New Roman"/>
          <w:sz w:val="24"/>
        </w:rPr>
        <w:t>(далее — программа)</w:t>
      </w:r>
    </w:p>
    <w:p>
      <w:pPr>
        <w:pStyle w:val="Normal"/>
        <w:tabs>
          <w:tab w:val="left" w:pos="708" w:leader="none"/>
        </w:tabs>
        <w:jc w:val="center"/>
        <w:rPr>
          <w:rFonts w:ascii="Times New Roman" w:hAnsi="Times New Roman"/>
          <w:sz w:val="24"/>
        </w:rPr>
      </w:pPr>
      <w:r>
        <w:rPr>
          <w:rFonts w:ascii="Times New Roman" w:hAnsi="Times New Roman"/>
          <w:sz w:val="24"/>
        </w:rPr>
      </w:r>
    </w:p>
    <w:p>
      <w:pPr>
        <w:pStyle w:val="Normal"/>
        <w:tabs>
          <w:tab w:val="left" w:pos="708" w:leader="none"/>
        </w:tabs>
        <w:jc w:val="center"/>
        <w:rPr>
          <w:rFonts w:ascii="Times New Roman" w:hAnsi="Times New Roman"/>
          <w:sz w:val="28"/>
          <w:szCs w:val="28"/>
        </w:rPr>
      </w:pPr>
      <w:r>
        <w:rPr>
          <w:rFonts w:ascii="Times New Roman" w:hAnsi="Times New Roman"/>
          <w:sz w:val="28"/>
          <w:szCs w:val="28"/>
        </w:rPr>
        <w:t>Паспорт программы</w:t>
      </w:r>
    </w:p>
    <w:tbl>
      <w:tblPr>
        <w:tblW w:w="9843"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Look w:firstRow="0" w:noVBand="0" w:lastRow="0" w:firstColumn="0" w:lastColumn="0" w:noHBand="0" w:val="0000"/>
      </w:tblPr>
      <w:tblGrid>
        <w:gridCol w:w="4455"/>
        <w:gridCol w:w="5387"/>
      </w:tblGrid>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Разработчик муниципальной программы (подпрограммы)</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jc w:val="both"/>
              <w:rPr>
                <w:rFonts w:ascii="Times New Roman" w:hAnsi="Times New Roman" w:cs="Times New Roman"/>
                <w:sz w:val="28"/>
                <w:szCs w:val="28"/>
              </w:rPr>
            </w:pPr>
            <w:r>
              <w:rPr>
                <w:rFonts w:cs="Times New Roman" w:ascii="Times New Roman" w:hAnsi="Times New Roman"/>
                <w:sz w:val="28"/>
                <w:szCs w:val="28"/>
              </w:rPr>
              <w:t>Отдел по развитию сферы туризма, молодежной политики, культуры и спорта администрации города</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Соисполнители программы (подпрограммы)</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jc w:val="both"/>
              <w:rPr>
                <w:rFonts w:ascii="Times New Roman" w:hAnsi="Times New Roman" w:cs="Times New Roman"/>
                <w:sz w:val="28"/>
                <w:szCs w:val="28"/>
              </w:rPr>
            </w:pPr>
            <w:r>
              <w:rPr>
                <w:rFonts w:cs="Times New Roman" w:ascii="Times New Roman" w:hAnsi="Times New Roman"/>
                <w:sz w:val="28"/>
                <w:szCs w:val="28"/>
              </w:rPr>
              <w:t>Отдел образования администрации города</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Муниципальное бюджетное учреждение «Культурно - досуговое объединение»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Муниципальное бюджетное учреждение «Централизованная библиотечная система» </w:t>
            </w:r>
          </w:p>
          <w:p>
            <w:pPr>
              <w:pStyle w:val="ConsPlusNormal"/>
              <w:jc w:val="both"/>
              <w:rPr>
                <w:rFonts w:ascii="Times New Roman" w:hAnsi="Times New Roman" w:cs="Times New Roman"/>
                <w:sz w:val="28"/>
                <w:szCs w:val="28"/>
              </w:rPr>
            </w:pPr>
            <w:r>
              <w:rPr>
                <w:rFonts w:cs="Times New Roman" w:ascii="Times New Roman" w:hAnsi="Times New Roman"/>
                <w:sz w:val="28"/>
                <w:szCs w:val="28"/>
              </w:rPr>
              <w:t>Муниципальное бюджетное учреждение дополнительного образования «Детско-юношеская спортивная школа города Рассказово»</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Программно-целевые и проектные инструменты (ведомственные целевые программы, федеральные (региональные) проекты) &lt;*&gt;</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Title"/>
              <w:rPr>
                <w:rFonts w:ascii="Times New Roman" w:hAnsi="Times New Roman" w:cs="Times New Roman"/>
                <w:b w:val="false"/>
                <w:b w:val="false"/>
                <w:sz w:val="28"/>
                <w:szCs w:val="28"/>
              </w:rPr>
            </w:pPr>
            <w:r>
              <w:rPr>
                <w:rFonts w:cs="Times New Roman" w:ascii="Times New Roman" w:hAnsi="Times New Roman"/>
                <w:b w:val="false"/>
                <w:sz w:val="28"/>
                <w:szCs w:val="28"/>
              </w:rPr>
              <w:t>Региональная программа Тамбовской области  «Активное долголетие» на 2025-2030 годы</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Цели программы (подпрограммы)</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jc w:val="both"/>
              <w:rPr>
                <w:rFonts w:ascii="Times New Roman" w:hAnsi="Times New Roman" w:cs="Times New Roman"/>
                <w:sz w:val="28"/>
                <w:szCs w:val="28"/>
              </w:rPr>
            </w:pPr>
            <w:r>
              <w:rPr>
                <w:rFonts w:cs="Times New Roman" w:ascii="Times New Roman" w:hAnsi="Times New Roman"/>
                <w:sz w:val="28"/>
                <w:szCs w:val="28"/>
              </w:rPr>
              <w:t>Укрепление здоровья, увеличение периода активного долголетия и продолжительности жизни граждан старшего поколения, в том числе предусматривающее участие граждан старшего поколения в образовательных проектах, культурно-досуговых мероприятиях, занятиях физической культурой и спортом, а также в добровольческой (волонтерской) деятельности</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Задачи программы (подпрограммы)</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jc w:val="both"/>
              <w:rPr>
                <w:rFonts w:ascii="Times New Roman" w:hAnsi="Times New Roman" w:cs="Times New Roman"/>
                <w:sz w:val="28"/>
                <w:szCs w:val="28"/>
              </w:rPr>
            </w:pPr>
            <w:r>
              <w:rPr>
                <w:rFonts w:cs="Times New Roman" w:ascii="Times New Roman" w:hAnsi="Times New Roman"/>
                <w:sz w:val="28"/>
                <w:szCs w:val="28"/>
              </w:rPr>
              <w:t>Продление активного долголетия граждан старшего поколения, создание условий для реализации их личностного потенциала</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Целевые индикаторы и показатели программы, их значения на последний год реализации</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Доля граждан старшего поколения, вовлеченных в муниципальную  программу «Активное долголетие»</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Сроки и этапы реализации программы (подпрограммы)</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Style w:val="1"/>
                <w:rFonts w:cs="Times New Roman" w:ascii="Times New Roman" w:hAnsi="Times New Roman"/>
                <w:sz w:val="28"/>
                <w:szCs w:val="28"/>
              </w:rPr>
              <w:t>2015</w:t>
            </w:r>
            <w:r>
              <w:rPr>
                <w:rStyle w:val="1"/>
                <w:rFonts w:eastAsia="Times New Roman" w:cs="Times New Roman" w:ascii="Times New Roman" w:hAnsi="Times New Roman"/>
                <w:sz w:val="28"/>
                <w:szCs w:val="28"/>
              </w:rPr>
              <w:t xml:space="preserve"> </w:t>
            </w:r>
            <w:r>
              <w:rPr>
                <w:rStyle w:val="1"/>
                <w:rFonts w:cs="Times New Roman" w:ascii="Times New Roman" w:hAnsi="Times New Roman"/>
                <w:sz w:val="28"/>
                <w:szCs w:val="28"/>
              </w:rPr>
              <w:t>-</w:t>
            </w:r>
            <w:r>
              <w:rPr>
                <w:rStyle w:val="1"/>
                <w:rFonts w:eastAsia="Times New Roman" w:cs="Times New Roman" w:ascii="Times New Roman" w:hAnsi="Times New Roman"/>
                <w:sz w:val="28"/>
                <w:szCs w:val="28"/>
              </w:rPr>
              <w:t xml:space="preserve"> </w:t>
            </w:r>
            <w:r>
              <w:rPr>
                <w:rStyle w:val="1"/>
                <w:rFonts w:cs="Times New Roman" w:ascii="Times New Roman" w:hAnsi="Times New Roman"/>
                <w:sz w:val="28"/>
                <w:szCs w:val="28"/>
              </w:rPr>
              <w:t>2030</w:t>
            </w:r>
            <w:r>
              <w:rPr>
                <w:rStyle w:val="1"/>
                <w:rFonts w:eastAsia="Times New Roman" w:cs="Times New Roman" w:ascii="Times New Roman" w:hAnsi="Times New Roman"/>
                <w:sz w:val="28"/>
                <w:szCs w:val="28"/>
              </w:rPr>
              <w:t xml:space="preserve"> </w:t>
            </w:r>
            <w:r>
              <w:rPr>
                <w:rStyle w:val="1"/>
                <w:rFonts w:cs="Times New Roman" w:ascii="Times New Roman" w:hAnsi="Times New Roman"/>
                <w:sz w:val="28"/>
                <w:szCs w:val="28"/>
              </w:rPr>
              <w:t>годы, реализуется в один этап</w:t>
            </w:r>
          </w:p>
        </w:tc>
      </w:tr>
      <w:tr>
        <w:trPr/>
        <w:tc>
          <w:tcPr>
            <w:tcW w:w="44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Объемы и источники финансирования программы (подпрограммы) &lt;**&gt;</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rPr>
                <w:rFonts w:ascii="Times New Roman" w:hAnsi="Times New Roman" w:cs="Times New Roman"/>
                <w:sz w:val="28"/>
                <w:szCs w:val="28"/>
              </w:rPr>
            </w:pPr>
            <w:r>
              <w:rPr>
                <w:rFonts w:cs="Times New Roman" w:ascii="Times New Roman" w:hAnsi="Times New Roman"/>
                <w:sz w:val="28"/>
                <w:szCs w:val="28"/>
              </w:rPr>
              <w:t>Объем финансирования на весь период реализации программы составляет - 0 рублей</w:t>
            </w:r>
          </w:p>
        </w:tc>
      </w:tr>
    </w:tbl>
    <w:p>
      <w:pPr>
        <w:pStyle w:val="ConsPlusNormal"/>
        <w:ind w:firstLine="540"/>
        <w:jc w:val="both"/>
        <w:rPr/>
      </w:pPr>
      <w:r>
        <w:rPr/>
      </w:r>
    </w:p>
    <w:p>
      <w:pPr>
        <w:pStyle w:val="ListParagraph"/>
        <w:numPr>
          <w:ilvl w:val="0"/>
          <w:numId w:val="2"/>
        </w:numPr>
        <w:jc w:val="center"/>
        <w:rPr>
          <w:rFonts w:ascii="Times New Roman" w:hAnsi="Times New Roman" w:eastAsia="Calibri" w:eastAsiaTheme="minorHAnsi"/>
          <w:sz w:val="28"/>
          <w:szCs w:val="28"/>
          <w:lang w:eastAsia="en-US"/>
        </w:rPr>
      </w:pPr>
      <w:r>
        <w:rPr>
          <w:rFonts w:eastAsia="Calibri" w:ascii="Times New Roman" w:hAnsi="Times New Roman" w:eastAsiaTheme="minorHAnsi"/>
          <w:b/>
          <w:sz w:val="28"/>
          <w:szCs w:val="28"/>
          <w:lang w:eastAsia="en-US"/>
        </w:rPr>
        <w:t>Общая характеристика сферы реализации муниципальной программы</w:t>
      </w:r>
      <w:r>
        <w:rPr>
          <w:rFonts w:eastAsia="Calibri" w:ascii="Times New Roman" w:hAnsi="Times New Roman" w:eastAsiaTheme="minorHAnsi"/>
          <w:sz w:val="28"/>
          <w:szCs w:val="28"/>
          <w:lang w:eastAsia="en-US"/>
        </w:rPr>
        <w:t>.</w:t>
      </w:r>
    </w:p>
    <w:p>
      <w:pPr>
        <w:pStyle w:val="ConsPlusNormal"/>
        <w:spacing w:before="220" w:after="0"/>
        <w:ind w:firstLine="600"/>
        <w:jc w:val="both"/>
        <w:rPr>
          <w:rFonts w:ascii="Times New Roman" w:hAnsi="Times New Roman" w:cs="Times New Roman"/>
          <w:b/>
          <w:b/>
          <w:sz w:val="28"/>
          <w:szCs w:val="28"/>
        </w:rPr>
      </w:pPr>
      <w:r>
        <w:rPr>
          <w:rFonts w:cs="Times New Roman" w:ascii="Times New Roman" w:hAnsi="Times New Roman"/>
          <w:b/>
          <w:sz w:val="28"/>
          <w:szCs w:val="28"/>
        </w:rPr>
        <w:t xml:space="preserve">1.1 Анализ текущей демографической ситуации </w:t>
      </w:r>
    </w:p>
    <w:p>
      <w:pPr>
        <w:pStyle w:val="NoSpacing"/>
        <w:ind w:firstLine="600"/>
        <w:jc w:val="both"/>
        <w:rPr>
          <w:rFonts w:ascii="Times New Roman" w:hAnsi="Times New Roman"/>
          <w:sz w:val="28"/>
          <w:szCs w:val="28"/>
        </w:rPr>
      </w:pPr>
      <w:r>
        <w:rPr>
          <w:rFonts w:ascii="Times New Roman" w:hAnsi="Times New Roman"/>
          <w:sz w:val="28"/>
          <w:szCs w:val="28"/>
          <w:shd w:fill="FFFFFF" w:val="clear"/>
        </w:rPr>
        <w:t>На 1 января 2025 года  </w:t>
      </w:r>
      <w:r>
        <w:rPr>
          <w:rStyle w:val="Strong"/>
          <w:rFonts w:ascii="Times New Roman" w:hAnsi="Times New Roman"/>
          <w:b w:val="false"/>
          <w:color w:val="444444"/>
          <w:sz w:val="28"/>
          <w:szCs w:val="28"/>
          <w:shd w:fill="FFFFFF" w:val="clear"/>
        </w:rPr>
        <w:t>численность населения Рассказово составляет 46275 человек</w:t>
      </w:r>
      <w:r>
        <w:rPr>
          <w:rFonts w:ascii="Times New Roman" w:hAnsi="Times New Roman"/>
          <w:sz w:val="28"/>
          <w:szCs w:val="28"/>
          <w:shd w:fill="FFFFFF" w:val="clear"/>
        </w:rPr>
        <w:t xml:space="preserve">, в том числе 13129 </w:t>
      </w:r>
      <w:r>
        <w:rPr>
          <w:rFonts w:ascii="Times New Roman" w:hAnsi="Times New Roman"/>
          <w:sz w:val="28"/>
          <w:szCs w:val="28"/>
        </w:rPr>
        <w:t>граждан старшего поколения.</w:t>
      </w:r>
    </w:p>
    <w:p>
      <w:pPr>
        <w:pStyle w:val="NoSpacing"/>
        <w:ind w:firstLine="600"/>
        <w:jc w:val="both"/>
        <w:rPr>
          <w:rFonts w:ascii="Times New Roman" w:hAnsi="Times New Roman"/>
          <w:sz w:val="28"/>
          <w:szCs w:val="28"/>
        </w:rPr>
      </w:pPr>
      <w:r>
        <w:rPr>
          <w:rFonts w:ascii="Times New Roman" w:hAnsi="Times New Roman"/>
          <w:sz w:val="28"/>
          <w:szCs w:val="28"/>
        </w:rPr>
        <w:t>Активная работа со старшим поколением один из приоритетов социальной поддержки населения. Основная задача это повышение качества жизни старшего поколения, с целью   увеличение не только продолжительности жизни, но продолжительности здоровой жизни, снижения уровня смертности, совершенствование и полная доступность медицинской помощи людям не только старшего поколения, но и людям трудоспособного предпенсионного возраста.</w:t>
      </w:r>
    </w:p>
    <w:p>
      <w:pPr>
        <w:pStyle w:val="NoSpacing"/>
        <w:ind w:firstLine="600"/>
        <w:jc w:val="both"/>
        <w:rPr>
          <w:rFonts w:ascii="Times New Roman" w:hAnsi="Times New Roman"/>
          <w:sz w:val="28"/>
          <w:szCs w:val="28"/>
        </w:rPr>
      </w:pPr>
      <w:r>
        <w:rPr>
          <w:rFonts w:ascii="Times New Roman" w:hAnsi="Times New Roman"/>
          <w:sz w:val="28"/>
          <w:szCs w:val="28"/>
        </w:rPr>
        <w:t>В целях раннего выявления хронических неинфекционных заболеваний,  являющихся  основной причиной смертности и инвалидности населения области в поликлинике ТОГБУЗ «Рассказовская ЦРБ» проводятся диспансеризация взрослого населения и профилактический медицинский осмотр.</w:t>
      </w:r>
    </w:p>
    <w:p>
      <w:pPr>
        <w:pStyle w:val="NoSpacing"/>
        <w:ind w:firstLine="600"/>
        <w:jc w:val="both"/>
        <w:rPr>
          <w:rFonts w:ascii="Times New Roman" w:hAnsi="Times New Roman"/>
          <w:sz w:val="28"/>
          <w:szCs w:val="28"/>
        </w:rPr>
      </w:pPr>
      <w:r>
        <w:rPr>
          <w:rFonts w:ascii="Times New Roman" w:hAnsi="Times New Roman"/>
          <w:sz w:val="28"/>
          <w:szCs w:val="28"/>
        </w:rPr>
        <w:t>В рамках проведения диспансеризации и профилактического медицинского осмотра осуществляется объем обследований: опрос, антропометрия, измерение артериального давления, определение уровня общего холестерина в крови, уровня глюкозы в крови экспресс методом, общий анализ крови, электрокардиография, флюорография легких, осмотр фельдшером, проводится онкологический скрининг (маммография, анализ кала на скрытую кровь, эзофагогастродуоденоскопия, анализ крови на простат специфический антиген, цитологическое исследование мазка), определение суммарного сердечно сосудистого риска, прием врача терапевта.</w:t>
      </w:r>
    </w:p>
    <w:p>
      <w:pPr>
        <w:pStyle w:val="NoSpacing"/>
        <w:ind w:firstLine="600"/>
        <w:jc w:val="both"/>
        <w:rPr>
          <w:rFonts w:ascii="Times New Roman" w:hAnsi="Times New Roman"/>
          <w:sz w:val="28"/>
          <w:szCs w:val="28"/>
        </w:rPr>
      </w:pPr>
      <w:r>
        <w:rPr>
          <w:rStyle w:val="Style14"/>
          <w:rFonts w:ascii="Times New Roman" w:hAnsi="Times New Roman"/>
          <w:color w:val="000000"/>
          <w:sz w:val="28"/>
          <w:szCs w:val="28"/>
        </w:rPr>
        <w:t xml:space="preserve">В структуре хронических неинфекционных заболеваний, впервые выявленных в ходе проведения диспансеризации определенных групп взрослого населения </w:t>
      </w:r>
    </w:p>
    <w:p>
      <w:pPr>
        <w:pStyle w:val="NoSpacing"/>
        <w:ind w:firstLine="600"/>
        <w:jc w:val="both"/>
        <w:rPr>
          <w:rFonts w:ascii="Times New Roman" w:hAnsi="Times New Roman"/>
          <w:sz w:val="28"/>
          <w:szCs w:val="28"/>
        </w:rPr>
      </w:pPr>
      <w:r>
        <w:rPr>
          <w:rStyle w:val="Style14"/>
          <w:rFonts w:ascii="Times New Roman" w:hAnsi="Times New Roman"/>
          <w:color w:val="000000"/>
          <w:sz w:val="28"/>
          <w:szCs w:val="28"/>
        </w:rPr>
        <w:t>1 место занимают болезни системы кровообращения- 2236 человек, в том числе среди лиц старше трудоспособного возраста - 1105.</w:t>
      </w:r>
    </w:p>
    <w:p>
      <w:pPr>
        <w:pStyle w:val="NoSpacing"/>
        <w:ind w:firstLine="600"/>
        <w:jc w:val="both"/>
        <w:rPr>
          <w:rFonts w:ascii="Times New Roman" w:hAnsi="Times New Roman"/>
          <w:sz w:val="28"/>
          <w:szCs w:val="28"/>
        </w:rPr>
      </w:pPr>
      <w:r>
        <w:rPr>
          <w:rStyle w:val="Style14"/>
          <w:rFonts w:ascii="Times New Roman" w:hAnsi="Times New Roman"/>
          <w:sz w:val="28"/>
          <w:szCs w:val="28"/>
        </w:rPr>
        <w:t>2 место занимают</w:t>
      </w:r>
      <w:r>
        <w:rPr>
          <w:rStyle w:val="Style14"/>
          <w:rFonts w:ascii="Times New Roman" w:hAnsi="Times New Roman"/>
          <w:color w:val="000000"/>
          <w:sz w:val="28"/>
          <w:szCs w:val="28"/>
        </w:rPr>
        <w:t xml:space="preserve"> болезни органов пищеварения- 273 человек, в том числе среди лиц старше трудоспособного возраста- 168.</w:t>
      </w:r>
    </w:p>
    <w:p>
      <w:pPr>
        <w:pStyle w:val="NoSpacing"/>
        <w:ind w:firstLine="600"/>
        <w:jc w:val="both"/>
        <w:rPr>
          <w:rFonts w:ascii="Times New Roman" w:hAnsi="Times New Roman"/>
          <w:sz w:val="28"/>
          <w:szCs w:val="28"/>
        </w:rPr>
      </w:pPr>
      <w:r>
        <w:rPr>
          <w:rStyle w:val="Style14"/>
          <w:rFonts w:ascii="Times New Roman" w:hAnsi="Times New Roman"/>
          <w:color w:val="000000"/>
          <w:sz w:val="28"/>
          <w:szCs w:val="28"/>
        </w:rPr>
        <w:t>3 место занимает сахарный диабет - 113 человека, в том числе среди лиц старше трудоспособного возраста- 67.</w:t>
      </w:r>
    </w:p>
    <w:p>
      <w:pPr>
        <w:pStyle w:val="NoSpacing"/>
        <w:ind w:firstLine="600"/>
        <w:jc w:val="both"/>
        <w:rPr>
          <w:rFonts w:ascii="Times New Roman" w:hAnsi="Times New Roman"/>
          <w:sz w:val="28"/>
          <w:szCs w:val="28"/>
        </w:rPr>
      </w:pPr>
      <w:r>
        <w:rPr>
          <w:rStyle w:val="Style14"/>
          <w:rFonts w:ascii="Times New Roman" w:hAnsi="Times New Roman"/>
          <w:color w:val="000000"/>
          <w:sz w:val="28"/>
          <w:szCs w:val="28"/>
        </w:rPr>
        <w:t>4 место занимают болезни органов дыхания- 97 человек, в том числе среди лиц старше трудоспособного возраста- 52.</w:t>
      </w:r>
    </w:p>
    <w:p>
      <w:pPr>
        <w:pStyle w:val="NoSpacing"/>
        <w:ind w:firstLine="600"/>
        <w:jc w:val="both"/>
        <w:rPr>
          <w:rFonts w:ascii="Times New Roman" w:hAnsi="Times New Roman"/>
          <w:sz w:val="28"/>
          <w:szCs w:val="28"/>
        </w:rPr>
      </w:pPr>
      <w:r>
        <w:rPr>
          <w:rStyle w:val="Style14"/>
          <w:rFonts w:ascii="Times New Roman" w:hAnsi="Times New Roman"/>
          <w:color w:val="000000"/>
          <w:sz w:val="28"/>
          <w:szCs w:val="28"/>
        </w:rPr>
        <w:t>5 место занимают злокачественные новообразования-40 человек, в том числе среди лиц старше трудоспособного возраста-14.</w:t>
      </w:r>
    </w:p>
    <w:p>
      <w:pPr>
        <w:pStyle w:val="NoSpacing"/>
        <w:ind w:firstLine="600"/>
        <w:jc w:val="both"/>
        <w:rPr>
          <w:rFonts w:ascii="Times New Roman" w:hAnsi="Times New Roman"/>
          <w:sz w:val="28"/>
          <w:szCs w:val="28"/>
        </w:rPr>
      </w:pPr>
      <w:r>
        <w:rPr>
          <w:rFonts w:ascii="Times New Roman" w:hAnsi="Times New Roman"/>
          <w:sz w:val="28"/>
          <w:szCs w:val="28"/>
        </w:rPr>
        <w:t>Все пациенты с впервые выявленными хроническими неинфекционными заболеваниями взяты на диспансерный учет, им разработаны планы лечебно- оздоровительных мероприятий.</w:t>
      </w:r>
    </w:p>
    <w:p>
      <w:pPr>
        <w:pStyle w:val="NoSpacing"/>
        <w:ind w:firstLine="600"/>
        <w:jc w:val="both"/>
        <w:rPr>
          <w:rFonts w:ascii="Times New Roman" w:hAnsi="Times New Roman"/>
          <w:sz w:val="28"/>
          <w:szCs w:val="28"/>
        </w:rPr>
      </w:pPr>
      <w:r>
        <w:rPr>
          <w:rFonts w:ascii="Times New Roman" w:hAnsi="Times New Roman"/>
          <w:sz w:val="28"/>
          <w:szCs w:val="28"/>
        </w:rPr>
        <w:t>Диспансеризация направлена на предупреждение развития социально-значимых заболеваний, большое внимание уделено выявлению факторов риска развития этих заболеваний.</w:t>
      </w:r>
    </w:p>
    <w:p>
      <w:pPr>
        <w:pStyle w:val="NoSpacing"/>
        <w:ind w:firstLine="600"/>
        <w:jc w:val="both"/>
        <w:rPr>
          <w:rFonts w:ascii="Times New Roman" w:hAnsi="Times New Roman"/>
          <w:sz w:val="28"/>
          <w:szCs w:val="28"/>
        </w:rPr>
      </w:pPr>
      <w:r>
        <w:rPr>
          <w:rFonts w:ascii="Times New Roman" w:hAnsi="Times New Roman"/>
          <w:sz w:val="28"/>
          <w:szCs w:val="28"/>
        </w:rPr>
        <w:t>Количество граждан, имеющих факторы риска хронических неинфекционных заболеваний по результатам диспансеризации – 2024 год – 10978 человек (51,6%):</w:t>
      </w:r>
    </w:p>
    <w:p>
      <w:pPr>
        <w:pStyle w:val="NoSpacing"/>
        <w:ind w:firstLine="600"/>
        <w:jc w:val="both"/>
        <w:rPr>
          <w:rFonts w:ascii="Times New Roman" w:hAnsi="Times New Roman"/>
          <w:sz w:val="28"/>
          <w:szCs w:val="28"/>
        </w:rPr>
      </w:pPr>
      <w:r>
        <w:rPr>
          <w:rFonts w:ascii="Times New Roman" w:hAnsi="Times New Roman"/>
          <w:sz w:val="28"/>
          <w:szCs w:val="28"/>
        </w:rPr>
        <w:t>повышенное АД - 7218 человека – 32,1%</w:t>
      </w:r>
    </w:p>
    <w:p>
      <w:pPr>
        <w:pStyle w:val="NoSpacing"/>
        <w:ind w:firstLine="600"/>
        <w:jc w:val="both"/>
        <w:rPr>
          <w:rFonts w:ascii="Times New Roman" w:hAnsi="Times New Roman"/>
          <w:sz w:val="28"/>
          <w:szCs w:val="28"/>
        </w:rPr>
      </w:pPr>
      <w:r>
        <w:rPr>
          <w:rFonts w:ascii="Times New Roman" w:hAnsi="Times New Roman"/>
          <w:sz w:val="28"/>
          <w:szCs w:val="28"/>
        </w:rPr>
        <w:t>нерациональное питание – 7116 человек – 31.6%</w:t>
      </w:r>
    </w:p>
    <w:p>
      <w:pPr>
        <w:pStyle w:val="NoSpacing"/>
        <w:ind w:firstLine="600"/>
        <w:jc w:val="both"/>
        <w:rPr>
          <w:rFonts w:ascii="Times New Roman" w:hAnsi="Times New Roman"/>
          <w:sz w:val="28"/>
          <w:szCs w:val="28"/>
        </w:rPr>
      </w:pPr>
      <w:r>
        <w:rPr>
          <w:rFonts w:ascii="Times New Roman" w:hAnsi="Times New Roman"/>
          <w:sz w:val="28"/>
          <w:szCs w:val="28"/>
        </w:rPr>
        <w:t>гиперхолестеринемия – 6456 человек – 28,7%</w:t>
      </w:r>
    </w:p>
    <w:p>
      <w:pPr>
        <w:pStyle w:val="NoSpacing"/>
        <w:ind w:firstLine="600"/>
        <w:jc w:val="both"/>
        <w:rPr>
          <w:rFonts w:ascii="Times New Roman" w:hAnsi="Times New Roman"/>
          <w:sz w:val="28"/>
          <w:szCs w:val="28"/>
        </w:rPr>
      </w:pPr>
      <w:r>
        <w:rPr>
          <w:rFonts w:ascii="Times New Roman" w:hAnsi="Times New Roman"/>
          <w:sz w:val="28"/>
          <w:szCs w:val="28"/>
        </w:rPr>
        <w:t>избыточная масса тела – 6303 человек – 28%</w:t>
      </w:r>
    </w:p>
    <w:p>
      <w:pPr>
        <w:pStyle w:val="NoSpacing"/>
        <w:ind w:firstLine="600"/>
        <w:jc w:val="both"/>
        <w:rPr>
          <w:rFonts w:ascii="Times New Roman" w:hAnsi="Times New Roman"/>
          <w:sz w:val="28"/>
          <w:szCs w:val="28"/>
        </w:rPr>
      </w:pPr>
      <w:r>
        <w:rPr>
          <w:rFonts w:ascii="Times New Roman" w:hAnsi="Times New Roman"/>
          <w:sz w:val="28"/>
          <w:szCs w:val="28"/>
        </w:rPr>
        <w:t>низкая физическая активность – 5626 человек – 25%</w:t>
      </w:r>
    </w:p>
    <w:p>
      <w:pPr>
        <w:pStyle w:val="NoSpacing"/>
        <w:ind w:firstLine="600"/>
        <w:jc w:val="both"/>
        <w:rPr>
          <w:rFonts w:ascii="Times New Roman" w:hAnsi="Times New Roman"/>
          <w:sz w:val="28"/>
          <w:szCs w:val="28"/>
        </w:rPr>
      </w:pPr>
      <w:r>
        <w:rPr>
          <w:rFonts w:ascii="Times New Roman" w:hAnsi="Times New Roman"/>
          <w:sz w:val="28"/>
          <w:szCs w:val="28"/>
        </w:rPr>
        <w:t>ожирение – 5454 человек – 24,2%</w:t>
      </w:r>
    </w:p>
    <w:p>
      <w:pPr>
        <w:pStyle w:val="NoSpacing"/>
        <w:ind w:firstLine="600"/>
        <w:jc w:val="both"/>
        <w:rPr>
          <w:rFonts w:ascii="Times New Roman" w:hAnsi="Times New Roman"/>
          <w:sz w:val="28"/>
          <w:szCs w:val="28"/>
        </w:rPr>
      </w:pPr>
      <w:r>
        <w:rPr>
          <w:rFonts w:ascii="Times New Roman" w:hAnsi="Times New Roman"/>
          <w:sz w:val="28"/>
          <w:szCs w:val="28"/>
        </w:rPr>
        <w:t>курение табака – 4500 человек – 20%</w:t>
      </w:r>
    </w:p>
    <w:p>
      <w:pPr>
        <w:pStyle w:val="NoSpacing"/>
        <w:ind w:firstLine="600"/>
        <w:jc w:val="both"/>
        <w:rPr>
          <w:rFonts w:ascii="Times New Roman" w:hAnsi="Times New Roman"/>
          <w:sz w:val="28"/>
          <w:szCs w:val="28"/>
        </w:rPr>
      </w:pPr>
      <w:r>
        <w:rPr>
          <w:rFonts w:ascii="Times New Roman" w:hAnsi="Times New Roman"/>
          <w:sz w:val="28"/>
          <w:szCs w:val="28"/>
        </w:rPr>
        <w:t>гипергликемия – 441 человек – 2%</w:t>
      </w:r>
    </w:p>
    <w:p>
      <w:pPr>
        <w:pStyle w:val="NoSpacing"/>
        <w:ind w:firstLine="600"/>
        <w:jc w:val="both"/>
        <w:rPr>
          <w:rFonts w:ascii="Times New Roman" w:hAnsi="Times New Roman"/>
          <w:sz w:val="28"/>
          <w:szCs w:val="28"/>
        </w:rPr>
      </w:pPr>
      <w:r>
        <w:rPr>
          <w:rFonts w:ascii="Times New Roman" w:hAnsi="Times New Roman"/>
          <w:sz w:val="28"/>
          <w:szCs w:val="28"/>
        </w:rPr>
        <w:t>риск пагубного употребления алкоголя – 121 человек – 0,5%</w:t>
      </w:r>
    </w:p>
    <w:p>
      <w:pPr>
        <w:pStyle w:val="NoSpacing"/>
        <w:ind w:firstLine="600"/>
        <w:jc w:val="both"/>
        <w:rPr>
          <w:rFonts w:ascii="Times New Roman" w:hAnsi="Times New Roman"/>
          <w:sz w:val="28"/>
          <w:szCs w:val="28"/>
        </w:rPr>
      </w:pPr>
      <w:r>
        <w:rPr>
          <w:rFonts w:ascii="Times New Roman" w:hAnsi="Times New Roman"/>
          <w:sz w:val="28"/>
          <w:szCs w:val="28"/>
        </w:rPr>
        <w:t>Имеющие 2 фактора риска и более – 5897 человек – 26,2%</w:t>
      </w:r>
    </w:p>
    <w:p>
      <w:pPr>
        <w:pStyle w:val="NoSpacing"/>
        <w:ind w:firstLine="600"/>
        <w:jc w:val="both"/>
        <w:rPr>
          <w:rFonts w:ascii="Times New Roman" w:hAnsi="Times New Roman"/>
          <w:sz w:val="28"/>
          <w:szCs w:val="28"/>
        </w:rPr>
      </w:pPr>
      <w:r>
        <w:rPr>
          <w:rFonts w:ascii="Times New Roman" w:hAnsi="Times New Roman"/>
          <w:sz w:val="28"/>
          <w:szCs w:val="28"/>
        </w:rPr>
        <w:t>Участковые врачи терапевты, сотрудники отделения профилактики регулярно выходят на предприятия г. Рассказово, где оценивают состояние здоровья трудящихся с измерением артериального давления, индекса массы тела, уровня глюкозы и холестерина в крови, насыщения крови кислородом. Раздают буклеты и памятки, читают лекции о здоровом образе жизни. Приглашают пациентов с выявленными отклонениями здоровья в поликлинику для проведения углубленного обследования и определения дальнейшей тактики лечения. За 12 месяцев в этих мероприятиях приняло участие 1826 человек.</w:t>
      </w:r>
    </w:p>
    <w:p>
      <w:pPr>
        <w:pStyle w:val="NoSpacing"/>
        <w:ind w:firstLine="600"/>
        <w:jc w:val="both"/>
        <w:rPr>
          <w:rStyle w:val="1"/>
          <w:rFonts w:ascii="Times New Roman" w:hAnsi="Times New Roman"/>
          <w:color w:val="000000"/>
          <w:sz w:val="28"/>
          <w:szCs w:val="28"/>
          <w:lang w:bidi="bn-IN"/>
        </w:rPr>
      </w:pPr>
      <w:r>
        <w:rPr>
          <w:rStyle w:val="1"/>
          <w:rFonts w:ascii="Times New Roman" w:hAnsi="Times New Roman"/>
          <w:color w:val="000000"/>
          <w:sz w:val="28"/>
          <w:szCs w:val="28"/>
          <w:lang w:bidi="bn-IN"/>
        </w:rPr>
        <w:t>За  12 месяцев 2024  года зарегистрировано  613  случаев  смерти. Среди городского населения  отмечается рост случаев смерти на 98 человек с 515  до  613</w:t>
      </w:r>
      <w:bookmarkStart w:id="0" w:name="_GoBack"/>
      <w:bookmarkEnd w:id="0"/>
      <w:r>
        <w:rPr>
          <w:rStyle w:val="1"/>
          <w:rFonts w:ascii="Times New Roman" w:hAnsi="Times New Roman"/>
          <w:color w:val="000000"/>
          <w:sz w:val="28"/>
          <w:szCs w:val="28"/>
          <w:lang w:bidi="bn-IN"/>
        </w:rPr>
        <w:t>, что составляет 19,0%.</w:t>
      </w:r>
    </w:p>
    <w:p>
      <w:pPr>
        <w:pStyle w:val="NoSpacing"/>
        <w:ind w:firstLine="708"/>
        <w:jc w:val="both"/>
        <w:rPr>
          <w:rFonts w:ascii="Times New Roman" w:hAnsi="Times New Roman"/>
          <w:sz w:val="28"/>
          <w:szCs w:val="28"/>
        </w:rPr>
      </w:pPr>
      <w:r>
        <w:rPr>
          <w:rFonts w:ascii="Times New Roman" w:hAnsi="Times New Roman"/>
          <w:sz w:val="28"/>
          <w:szCs w:val="28"/>
        </w:rPr>
        <w:t>Задачи по сохранению здоровья и качества жизни старшего поколения  можем выполнить при тесном сотрудничестве и взаимодействии с различными службами, участвующими в реализации данной программы.</w:t>
      </w:r>
    </w:p>
    <w:p>
      <w:pPr>
        <w:pStyle w:val="Normal"/>
        <w:tabs>
          <w:tab w:val="left" w:pos="851" w:leader="none"/>
          <w:tab w:val="left" w:pos="993" w:leader="none"/>
        </w:tabs>
        <w:ind w:firstLine="709"/>
        <w:jc w:val="both"/>
        <w:rPr>
          <w:rFonts w:ascii="Times New Roman" w:hAnsi="Times New Roman"/>
          <w:b/>
          <w:b/>
          <w:sz w:val="28"/>
          <w:szCs w:val="28"/>
        </w:rPr>
      </w:pPr>
      <w:r>
        <w:rPr>
          <w:rFonts w:ascii="Times New Roman" w:hAnsi="Times New Roman"/>
          <w:b/>
          <w:sz w:val="28"/>
          <w:szCs w:val="28"/>
        </w:rPr>
      </w:r>
    </w:p>
    <w:p>
      <w:pPr>
        <w:pStyle w:val="ConsPlusTitle"/>
        <w:numPr>
          <w:ilvl w:val="1"/>
          <w:numId w:val="2"/>
        </w:numPr>
        <w:outlineLvl w:val="2"/>
        <w:rPr>
          <w:rFonts w:ascii="Times New Roman" w:hAnsi="Times New Roman" w:cs="Times New Roman"/>
          <w:sz w:val="28"/>
          <w:szCs w:val="28"/>
        </w:rPr>
      </w:pPr>
      <w:r>
        <w:rPr>
          <w:rFonts w:cs="Times New Roman" w:ascii="Times New Roman" w:hAnsi="Times New Roman"/>
          <w:sz w:val="28"/>
          <w:szCs w:val="28"/>
        </w:rPr>
        <w:t>Анализ рынка социальных услуг региона</w:t>
      </w:r>
    </w:p>
    <w:p>
      <w:pPr>
        <w:pStyle w:val="Normal"/>
        <w:ind w:left="-142" w:firstLine="706"/>
        <w:jc w:val="both"/>
        <w:rPr>
          <w:rFonts w:ascii="Times New Roman" w:hAnsi="Times New Roman"/>
          <w:sz w:val="28"/>
          <w:szCs w:val="28"/>
        </w:rPr>
      </w:pPr>
      <w:r>
        <w:rPr>
          <w:rFonts w:ascii="Times New Roman" w:hAnsi="Times New Roman"/>
          <w:sz w:val="28"/>
          <w:szCs w:val="28"/>
        </w:rPr>
        <w:t xml:space="preserve">По состоянию на 01.01.2025 года  на надомном обслуживании состоят 296 граждан пожилого возраста, которым предоставляются следующие услуги: социально-медицинские, социально-бытовые, социально-психологические, социально-правовые.  </w:t>
      </w:r>
    </w:p>
    <w:p>
      <w:pPr>
        <w:pStyle w:val="Normal"/>
        <w:ind w:left="-142" w:firstLine="706"/>
        <w:jc w:val="both"/>
        <w:rPr>
          <w:rFonts w:ascii="Times New Roman" w:hAnsi="Times New Roman"/>
          <w:sz w:val="28"/>
          <w:szCs w:val="28"/>
        </w:rPr>
      </w:pPr>
      <w:r>
        <w:rPr>
          <w:rFonts w:ascii="Times New Roman" w:hAnsi="Times New Roman"/>
          <w:sz w:val="28"/>
          <w:szCs w:val="28"/>
        </w:rPr>
        <w:t xml:space="preserve">С апреля  2023 года начата работа по реализации пилотного проекта системы долговременного ухода.   Социальный пакет долговременного ухода  включает в себя  услуги «Присмотр и уход» и «Санитарно-гигиенический уход». </w:t>
      </w:r>
    </w:p>
    <w:p>
      <w:pPr>
        <w:pStyle w:val="Normal"/>
        <w:ind w:firstLine="600"/>
        <w:jc w:val="both"/>
        <w:rPr>
          <w:rFonts w:ascii="Times New Roman" w:hAnsi="Times New Roman"/>
          <w:sz w:val="28"/>
          <w:szCs w:val="28"/>
        </w:rPr>
      </w:pPr>
      <w:r>
        <w:rPr>
          <w:rFonts w:ascii="Times New Roman" w:hAnsi="Times New Roman"/>
          <w:sz w:val="28"/>
          <w:szCs w:val="28"/>
        </w:rPr>
        <w:t>Долговременный уход – это ориентированный на граждан пожилого возраста и инвалидов скоординированный способ предоставления необходимой помощи, позволяющий поддерживать их здоровье,  функциональность, социальные связи, интерес к жизни.</w:t>
      </w:r>
    </w:p>
    <w:p>
      <w:pPr>
        <w:pStyle w:val="Normal"/>
        <w:ind w:firstLine="600"/>
        <w:jc w:val="both"/>
        <w:rPr>
          <w:rFonts w:ascii="Times New Roman" w:hAnsi="Times New Roman"/>
          <w:sz w:val="28"/>
          <w:szCs w:val="28"/>
        </w:rPr>
      </w:pPr>
      <w:r>
        <w:rPr>
          <w:rFonts w:ascii="Times New Roman" w:hAnsi="Times New Roman"/>
          <w:sz w:val="28"/>
          <w:szCs w:val="28"/>
        </w:rPr>
        <w:t>В штатную численность центра включены 89,5 штатных единиц помощников по уходу и 1 единица заведующего отделением  социального обслуживания (организатор ухода)</w:t>
      </w:r>
    </w:p>
    <w:p>
      <w:pPr>
        <w:pStyle w:val="Normal"/>
        <w:ind w:firstLine="600"/>
        <w:jc w:val="both"/>
        <w:rPr>
          <w:rFonts w:ascii="Times New Roman" w:hAnsi="Times New Roman"/>
          <w:sz w:val="28"/>
          <w:szCs w:val="28"/>
        </w:rPr>
      </w:pPr>
      <w:r>
        <w:rPr>
          <w:rFonts w:ascii="Times New Roman" w:hAnsi="Times New Roman"/>
          <w:sz w:val="28"/>
          <w:szCs w:val="28"/>
        </w:rPr>
        <w:t>В 2024 году организовано обучение 31 работника по программе профессиональной переподготовки «помощник по уходу».</w:t>
      </w:r>
    </w:p>
    <w:p>
      <w:pPr>
        <w:pStyle w:val="Normal"/>
        <w:ind w:firstLine="600"/>
        <w:jc w:val="both"/>
        <w:rPr>
          <w:rFonts w:ascii="Times New Roman" w:hAnsi="Times New Roman"/>
          <w:sz w:val="28"/>
          <w:szCs w:val="28"/>
        </w:rPr>
      </w:pPr>
      <w:r>
        <w:rPr>
          <w:rFonts w:ascii="Times New Roman" w:hAnsi="Times New Roman"/>
          <w:sz w:val="28"/>
          <w:szCs w:val="28"/>
        </w:rPr>
        <w:t>В систему долговременного ухода включаются граждане, признанные нуждающимися в социальном обслуживании в соответствии с пунктом 1  части 1 статьи 15 Федерального закона от 28.12.2013 № 442-ФЗ, в том числе граждане с психическими расстройствами.</w:t>
      </w:r>
    </w:p>
    <w:p>
      <w:pPr>
        <w:pStyle w:val="Normal"/>
        <w:ind w:firstLine="600"/>
        <w:jc w:val="both"/>
        <w:rPr>
          <w:rFonts w:ascii="Times New Roman" w:hAnsi="Times New Roman"/>
          <w:sz w:val="28"/>
          <w:szCs w:val="28"/>
        </w:rPr>
      </w:pPr>
      <w:r>
        <w:rPr>
          <w:rFonts w:ascii="Times New Roman" w:hAnsi="Times New Roman"/>
          <w:sz w:val="28"/>
          <w:szCs w:val="28"/>
        </w:rPr>
        <w:t>Приоритетным правом на включение в систему долговременного ухода обладают инвалиды и участники Великой Отечественной войны, ветераны боевых действий – участники специальной военной операции.</w:t>
      </w:r>
    </w:p>
    <w:p>
      <w:pPr>
        <w:pStyle w:val="Normal"/>
        <w:ind w:firstLine="708"/>
        <w:jc w:val="both"/>
        <w:rPr>
          <w:rFonts w:ascii="Times New Roman" w:hAnsi="Times New Roman"/>
          <w:sz w:val="28"/>
          <w:szCs w:val="28"/>
        </w:rPr>
      </w:pPr>
      <w:r>
        <w:rPr>
          <w:rFonts w:ascii="Times New Roman" w:hAnsi="Times New Roman"/>
          <w:sz w:val="28"/>
          <w:szCs w:val="28"/>
        </w:rPr>
        <w:t>Социальный пакет долговременного ухода предоставляется бесплатно  в форме социального обслуживания на дому граждан, которым установлен первый, второй или третий уровень нуждаемости в уходе.</w:t>
      </w:r>
    </w:p>
    <w:p>
      <w:pPr>
        <w:pStyle w:val="Normal"/>
        <w:ind w:firstLine="708"/>
        <w:jc w:val="both"/>
        <w:rPr>
          <w:rFonts w:ascii="Times New Roman" w:hAnsi="Times New Roman"/>
          <w:sz w:val="28"/>
          <w:szCs w:val="28"/>
        </w:rPr>
      </w:pPr>
      <w:r>
        <w:rPr>
          <w:rFonts w:ascii="Times New Roman" w:hAnsi="Times New Roman"/>
          <w:sz w:val="28"/>
          <w:szCs w:val="28"/>
        </w:rPr>
        <w:t>Численность граждан, получивших социальные услуги в форме социального обслуживания на дому «Санитарно-гигиенический уход», «Присмотр и уход» в рамках пилотного проекта по внедрению системы долговременного ухода  166 человек, из них:</w:t>
      </w:r>
    </w:p>
    <w:p>
      <w:pPr>
        <w:pStyle w:val="ListParagraph"/>
        <w:ind w:left="960" w:hanging="0"/>
        <w:jc w:val="both"/>
        <w:rPr>
          <w:rFonts w:ascii="Times New Roman" w:hAnsi="Times New Roman"/>
          <w:sz w:val="28"/>
          <w:szCs w:val="28"/>
        </w:rPr>
      </w:pPr>
      <w:r>
        <w:rPr>
          <w:rFonts w:ascii="Times New Roman" w:hAnsi="Times New Roman"/>
          <w:sz w:val="28"/>
          <w:szCs w:val="28"/>
        </w:rPr>
        <w:t>- 1 уровня нуждаемости – 26 чел.;</w:t>
      </w:r>
    </w:p>
    <w:p>
      <w:pPr>
        <w:pStyle w:val="ListParagraph"/>
        <w:ind w:left="960" w:hanging="0"/>
        <w:jc w:val="both"/>
        <w:rPr>
          <w:rFonts w:ascii="Times New Roman" w:hAnsi="Times New Roman"/>
          <w:sz w:val="28"/>
          <w:szCs w:val="28"/>
        </w:rPr>
      </w:pPr>
      <w:r>
        <w:rPr>
          <w:rFonts w:ascii="Times New Roman" w:hAnsi="Times New Roman"/>
          <w:sz w:val="28"/>
          <w:szCs w:val="28"/>
        </w:rPr>
        <w:t>- 2 уровня нуждаемости – 82 чел.;</w:t>
      </w:r>
    </w:p>
    <w:p>
      <w:pPr>
        <w:pStyle w:val="ListParagraph"/>
        <w:ind w:left="960" w:hanging="0"/>
        <w:jc w:val="both"/>
        <w:rPr>
          <w:rFonts w:ascii="Times New Roman" w:hAnsi="Times New Roman"/>
          <w:sz w:val="28"/>
          <w:szCs w:val="28"/>
        </w:rPr>
      </w:pPr>
      <w:r>
        <w:rPr>
          <w:rFonts w:ascii="Times New Roman" w:hAnsi="Times New Roman"/>
          <w:sz w:val="28"/>
          <w:szCs w:val="28"/>
        </w:rPr>
        <w:t>- 3 уровня нуждаемости – 558 чел.</w:t>
      </w:r>
    </w:p>
    <w:p>
      <w:pPr>
        <w:pStyle w:val="Normal"/>
        <w:ind w:firstLine="708"/>
        <w:jc w:val="both"/>
        <w:rPr>
          <w:rFonts w:ascii="Times New Roman" w:hAnsi="Times New Roman"/>
          <w:sz w:val="28"/>
          <w:szCs w:val="28"/>
        </w:rPr>
      </w:pPr>
      <w:r>
        <w:rPr>
          <w:rFonts w:ascii="Times New Roman" w:hAnsi="Times New Roman"/>
          <w:sz w:val="28"/>
          <w:szCs w:val="28"/>
        </w:rPr>
        <w:t>Помощники по уходу обеспечены  средствами ухода, оборудованием, необходимым для осуществления ухода за гражданами.</w:t>
      </w:r>
    </w:p>
    <w:p>
      <w:pPr>
        <w:pStyle w:val="Normal"/>
        <w:ind w:firstLine="708"/>
        <w:jc w:val="both"/>
        <w:rPr>
          <w:rFonts w:ascii="Times New Roman" w:hAnsi="Times New Roman"/>
          <w:sz w:val="28"/>
          <w:szCs w:val="28"/>
        </w:rPr>
      </w:pPr>
      <w:r>
        <w:rPr>
          <w:rFonts w:ascii="Times New Roman" w:hAnsi="Times New Roman"/>
          <w:sz w:val="28"/>
          <w:szCs w:val="28"/>
        </w:rPr>
        <w:t>В центре организована работа пункта проката технических средств реабилитации, на базе которого в свою очередь открыта «Школа ухода», направленная на обучение граждан практическим навыкам общего ухода за лицами частично или полностью утратившими способность к самообслуживанию.</w:t>
      </w:r>
    </w:p>
    <w:p>
      <w:pPr>
        <w:pStyle w:val="Normal"/>
        <w:ind w:firstLine="708"/>
        <w:jc w:val="both"/>
        <w:rPr>
          <w:rFonts w:ascii="Times New Roman" w:hAnsi="Times New Roman"/>
          <w:sz w:val="28"/>
          <w:szCs w:val="28"/>
        </w:rPr>
      </w:pPr>
      <w:r>
        <w:rPr>
          <w:rFonts w:ascii="Times New Roman" w:hAnsi="Times New Roman"/>
          <w:sz w:val="28"/>
          <w:szCs w:val="28"/>
        </w:rPr>
        <w:t>Количество ТСР, находящихся на балансе учреждения – 845; количество ТСР, выданных гражданам в 2024 году – 101.</w:t>
      </w:r>
    </w:p>
    <w:p>
      <w:pPr>
        <w:pStyle w:val="Normal"/>
        <w:ind w:firstLine="708"/>
        <w:jc w:val="both"/>
        <w:rPr>
          <w:rFonts w:ascii="Times New Roman" w:hAnsi="Times New Roman"/>
          <w:sz w:val="28"/>
          <w:szCs w:val="28"/>
        </w:rPr>
      </w:pPr>
      <w:r>
        <w:rPr>
          <w:rFonts w:ascii="Times New Roman" w:hAnsi="Times New Roman"/>
          <w:sz w:val="28"/>
          <w:szCs w:val="28"/>
        </w:rPr>
        <w:t>Также на базе центра функционирует, полустационарное (дневное) отделение с целью дневной занятости пожилых людей и инвалидов.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На базе ТОГБУ СОН «Центр социальных услуг для населения г.Рассказово и Рассказовского района» работает клуб по интересам «Ретроталанты», основной задачей которого является социализация граждан пожилого возраста,  продление активного долголетия, проведения культурно-досуговых мероприятий.</w:t>
      </w:r>
      <w:r>
        <w:rPr>
          <w:rFonts w:ascii="Times New Roman" w:hAnsi="Times New Roman"/>
        </w:rPr>
        <w:t xml:space="preserve">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1"/>
          <w:numId w:val="2"/>
        </w:numPr>
        <w:jc w:val="center"/>
        <w:rPr>
          <w:rFonts w:ascii="Times New Roman" w:hAnsi="Times New Roman" w:cs="Times New Roman"/>
          <w:b/>
          <w:b/>
          <w:sz w:val="28"/>
          <w:szCs w:val="28"/>
        </w:rPr>
      </w:pPr>
      <w:r>
        <w:rPr>
          <w:rFonts w:cs="Times New Roman" w:ascii="Times New Roman" w:hAnsi="Times New Roman"/>
          <w:b/>
          <w:sz w:val="28"/>
          <w:szCs w:val="28"/>
        </w:rPr>
        <w:t>Вовлечения старшего поколения в досуговую деятельность, добровольчество  и волонтерство.</w:t>
      </w:r>
    </w:p>
    <w:p>
      <w:pPr>
        <w:pStyle w:val="Normal"/>
        <w:ind w:firstLine="708"/>
        <w:jc w:val="both"/>
        <w:rPr>
          <w:rFonts w:ascii="Times New Roman" w:hAnsi="Times New Roman"/>
          <w:sz w:val="28"/>
          <w:szCs w:val="28"/>
        </w:rPr>
      </w:pPr>
      <w:r>
        <w:rPr>
          <w:rFonts w:ascii="Times New Roman" w:hAnsi="Times New Roman"/>
          <w:sz w:val="28"/>
          <w:szCs w:val="28"/>
        </w:rPr>
        <w:t>В 2024 году в целях вовлечения старшего поколения в досуговую деятельность, добровольчество  и волонтерство в г.Рассказово проводилась работа по следующим направлениям:</w:t>
      </w:r>
    </w:p>
    <w:p>
      <w:pPr>
        <w:pStyle w:val="NoSpacing"/>
        <w:ind w:firstLine="514"/>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Повышение доступности туристических услуг для граждан старшего поколения:</w:t>
      </w:r>
    </w:p>
    <w:p>
      <w:pPr>
        <w:pStyle w:val="Normal"/>
        <w:ind w:left="21" w:firstLine="493"/>
        <w:jc w:val="both"/>
        <w:rPr>
          <w:rFonts w:ascii="Times New Roman" w:hAnsi="Times New Roman"/>
          <w:sz w:val="28"/>
          <w:szCs w:val="28"/>
        </w:rPr>
      </w:pPr>
      <w:r>
        <w:rPr>
          <w:rFonts w:ascii="Times New Roman" w:hAnsi="Times New Roman"/>
          <w:sz w:val="28"/>
          <w:szCs w:val="28"/>
        </w:rPr>
        <w:t xml:space="preserve">1.  на территории города Рассказово проведено 83 мероприятия по обеспечению туристической мобильности граждан старшего поколения. Информирование граждан старшего поколения о туристических продуктах в сфере социального туризма происходит путем размещения информации на сайтах администрации города, краеведческого музея и в социальных сетях. </w:t>
      </w:r>
    </w:p>
    <w:p>
      <w:pPr>
        <w:pStyle w:val="NoSpacing"/>
        <w:jc w:val="both"/>
        <w:rPr>
          <w:rFonts w:ascii="Times New Roman" w:hAnsi="Times New Roman"/>
          <w:sz w:val="28"/>
          <w:szCs w:val="28"/>
        </w:rPr>
      </w:pPr>
      <w:r>
        <w:rPr>
          <w:rFonts w:ascii="Times New Roman" w:hAnsi="Times New Roman"/>
          <w:sz w:val="28"/>
          <w:szCs w:val="28"/>
        </w:rPr>
        <w:tab/>
        <w:t>2. численность участников старшего поколения, участвовавших  в мероприятиях социального туризма в 2024 году  –  963 чел.</w:t>
      </w:r>
    </w:p>
    <w:p>
      <w:pPr>
        <w:pStyle w:val="NoSpacing"/>
        <w:jc w:val="both"/>
        <w:rPr>
          <w:rFonts w:ascii="Times New Roman" w:hAnsi="Times New Roman"/>
          <w:sz w:val="28"/>
          <w:szCs w:val="28"/>
        </w:rPr>
      </w:pPr>
      <w:r>
        <w:rPr>
          <w:rFonts w:ascii="Times New Roman" w:hAnsi="Times New Roman"/>
          <w:sz w:val="28"/>
          <w:szCs w:val="28"/>
        </w:rPr>
        <w:tab/>
        <w:t>3. число действующих  туристических маршрутов, разработанных с учетом специфики организаций отдыха граждан пожилого возраста в отчетном                  периоде – 6:</w:t>
      </w:r>
    </w:p>
    <w:p>
      <w:pPr>
        <w:pStyle w:val="12"/>
        <w:spacing w:lineRule="auto" w:line="240"/>
        <w:ind w:firstLine="709"/>
        <w:jc w:val="both"/>
        <w:rPr>
          <w:bCs/>
          <w:sz w:val="28"/>
          <w:szCs w:val="28"/>
        </w:rPr>
      </w:pPr>
      <w:r>
        <w:rPr>
          <w:rFonts w:cs="Times New Roman"/>
          <w:sz w:val="28"/>
          <w:szCs w:val="28"/>
        </w:rPr>
        <w:t>«Рассказово купеческое», «Дубовая аллея», «Наш трикотаж и носки»,</w:t>
      </w:r>
    </w:p>
    <w:p>
      <w:pPr>
        <w:pStyle w:val="12"/>
        <w:spacing w:lineRule="auto" w:line="240"/>
        <w:jc w:val="both"/>
        <w:rPr>
          <w:bCs/>
          <w:sz w:val="28"/>
          <w:szCs w:val="28"/>
        </w:rPr>
      </w:pPr>
      <w:r>
        <w:rPr>
          <w:rFonts w:cs="Times New Roman"/>
          <w:color w:val="000000"/>
          <w:sz w:val="28"/>
          <w:szCs w:val="28"/>
        </w:rPr>
        <w:t>«Шерстяные выходные», «Из истории Рассказово», «Рассказово православное».</w:t>
      </w:r>
    </w:p>
    <w:p>
      <w:pPr>
        <w:pStyle w:val="NoSpacing"/>
        <w:jc w:val="both"/>
        <w:rPr>
          <w:rFonts w:ascii="Times New Roman" w:hAnsi="Times New Roman"/>
          <w:sz w:val="28"/>
          <w:szCs w:val="28"/>
        </w:rPr>
      </w:pPr>
      <w:r>
        <w:rPr>
          <w:rFonts w:ascii="Times New Roman" w:hAnsi="Times New Roman"/>
          <w:sz w:val="28"/>
          <w:szCs w:val="28"/>
        </w:rPr>
        <w:tab/>
        <w:t>II. Вовлечение граждан старшего поколения в занятия физической культурой и спортом: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в 2024 году администрацией города было проведено 83 спортивных мероприятия  для граждан старшего поколения. Соревнования по настольным играм (Джакколо, морской бильярд, шафорд болд), турнир по волейболу, футболу, баскетболу, настольному  теннису, шахматам. На территории пригородного леса регулярно проходят встречи любителей лыжного спорта, а также скандинавской ходьбы с последующим массовым стартом на 3 км. Проводится агитационная работа и пропаганда здорового образа жизни, физической культуры и спорта в сми, социальных сетях, привлечение к сдаче норм ГТО.</w:t>
      </w:r>
    </w:p>
    <w:p>
      <w:pPr>
        <w:pStyle w:val="Standard"/>
        <w:jc w:val="both"/>
        <w:rPr>
          <w:rFonts w:ascii="Times New Roman" w:hAnsi="Times New Roman" w:cs="Times New Roman"/>
          <w:sz w:val="28"/>
          <w:szCs w:val="28"/>
        </w:rPr>
      </w:pPr>
      <w:r>
        <w:rPr>
          <w:rFonts w:cs="Times New Roman" w:ascii="Times New Roman" w:hAnsi="Times New Roman"/>
          <w:sz w:val="28"/>
          <w:szCs w:val="28"/>
        </w:rPr>
        <w:tab/>
        <w:t>2. Граждан старшего возраста систематически занимающихся физической культурой и спортом  на 01.01.2025 г. — 2160, из них 220 скандинавской ходьбой.</w:t>
      </w:r>
    </w:p>
    <w:p>
      <w:pPr>
        <w:pStyle w:val="NoSpacing"/>
        <w:ind w:firstLine="708"/>
        <w:jc w:val="both"/>
        <w:rPr>
          <w:rFonts w:ascii="Times New Roman" w:hAnsi="Times New Roman"/>
          <w:sz w:val="28"/>
          <w:szCs w:val="28"/>
        </w:rPr>
      </w:pPr>
      <w:r>
        <w:rPr>
          <w:rFonts w:ascii="Times New Roman" w:hAnsi="Times New Roman"/>
          <w:sz w:val="28"/>
          <w:szCs w:val="28"/>
        </w:rPr>
        <w:t>III. Вовлечение граждан старшего поколения в «серебряное» волонтерство:</w:t>
      </w:r>
    </w:p>
    <w:p>
      <w:pPr>
        <w:pStyle w:val="NoSpacing"/>
        <w:numPr>
          <w:ilvl w:val="0"/>
          <w:numId w:val="4"/>
        </w:numPr>
        <w:tabs>
          <w:tab w:val="left" w:pos="284" w:leader="none"/>
        </w:tabs>
        <w:suppressAutoHyphens w:val="true"/>
        <w:ind w:left="0" w:firstLine="709"/>
        <w:jc w:val="both"/>
        <w:rPr>
          <w:rFonts w:ascii="Times New Roman" w:hAnsi="Times New Roman"/>
          <w:sz w:val="28"/>
          <w:szCs w:val="28"/>
        </w:rPr>
      </w:pPr>
      <w:r>
        <w:rPr>
          <w:rFonts w:ascii="Times New Roman" w:hAnsi="Times New Roman"/>
          <w:sz w:val="28"/>
          <w:szCs w:val="28"/>
        </w:rPr>
        <w:t>В 2024 году проведены мероприятия по изготовлению маскировочных сетей для бойцов СВО, уборке дворовых территорий, по доставке продуктов питания, лекарственных препаратов, оплате коммунальных услуг, перекопка земли,  подписка на газету «Трудовая новь»  гражданам старшего поколения, инвалидам.</w:t>
      </w:r>
    </w:p>
    <w:p>
      <w:pPr>
        <w:pStyle w:val="NoSpacing"/>
        <w:numPr>
          <w:ilvl w:val="0"/>
          <w:numId w:val="4"/>
        </w:numPr>
        <w:tabs>
          <w:tab w:val="left" w:pos="284" w:leader="none"/>
        </w:tabs>
        <w:suppressAutoHyphens w:val="true"/>
        <w:ind w:left="0" w:firstLine="709"/>
        <w:jc w:val="both"/>
        <w:rPr>
          <w:rFonts w:ascii="Times New Roman" w:hAnsi="Times New Roman"/>
          <w:sz w:val="28"/>
          <w:szCs w:val="28"/>
        </w:rPr>
      </w:pPr>
      <w:r>
        <w:rPr>
          <w:rFonts w:ascii="Times New Roman" w:hAnsi="Times New Roman"/>
          <w:sz w:val="28"/>
          <w:szCs w:val="28"/>
        </w:rPr>
        <w:t>Численность граждан старшего поколения, участвовавших в мероприятиях «серебряного» волонтерства –  116;</w:t>
      </w:r>
    </w:p>
    <w:p>
      <w:pPr>
        <w:pStyle w:val="NoSpacing"/>
        <w:numPr>
          <w:ilvl w:val="0"/>
          <w:numId w:val="4"/>
        </w:numPr>
        <w:suppressAutoHyphens w:val="true"/>
        <w:ind w:left="0" w:firstLine="705"/>
        <w:jc w:val="both"/>
        <w:rPr>
          <w:rFonts w:ascii="Times New Roman" w:hAnsi="Times New Roman"/>
          <w:sz w:val="28"/>
          <w:szCs w:val="28"/>
        </w:rPr>
      </w:pPr>
      <w:r>
        <w:rPr>
          <w:rFonts w:ascii="Times New Roman" w:hAnsi="Times New Roman"/>
          <w:sz w:val="28"/>
          <w:szCs w:val="28"/>
        </w:rPr>
        <w:t>Число граждан, которым оказана помощь «серебряными» добровольческими (волонтерскими) объединениями или «серебряными» волонтерами – 170.</w:t>
      </w:r>
    </w:p>
    <w:p>
      <w:pPr>
        <w:pStyle w:val="Normal"/>
        <w:ind w:firstLine="708"/>
        <w:jc w:val="both"/>
        <w:rPr>
          <w:rFonts w:ascii="Times New Roman" w:hAnsi="Times New Roman"/>
          <w:sz w:val="28"/>
          <w:szCs w:val="28"/>
        </w:rPr>
      </w:pPr>
      <w:r>
        <w:rPr>
          <w:rFonts w:ascii="Times New Roman" w:hAnsi="Times New Roman"/>
          <w:sz w:val="28"/>
          <w:szCs w:val="28"/>
        </w:rPr>
        <w:t>IV. Обеспечение доступа граждан старшего поколения к информационным и образовательным ресурсам:</w:t>
      </w:r>
    </w:p>
    <w:p>
      <w:pPr>
        <w:pStyle w:val="Normal"/>
        <w:ind w:firstLine="708"/>
        <w:jc w:val="both"/>
        <w:rPr>
          <w:rFonts w:ascii="Times New Roman" w:hAnsi="Times New Roman"/>
          <w:sz w:val="28"/>
          <w:szCs w:val="28"/>
        </w:rPr>
      </w:pPr>
      <w:r>
        <w:rPr>
          <w:rFonts w:ascii="Times New Roman" w:hAnsi="Times New Roman"/>
          <w:sz w:val="28"/>
          <w:szCs w:val="28"/>
        </w:rPr>
        <w:t>На базе МБУ ЦБС  создан клуб по интересам «Мудрое поколение», который  оказывает гражданам старшего поколения  услуги:  финансовой и правовой грамотности, компьютерной грамотности, юридической  помощи и  доставки книг. В 2024 году 491 человек воспользовался данными услугами.</w:t>
      </w:r>
    </w:p>
    <w:p>
      <w:pPr>
        <w:pStyle w:val="Normal"/>
        <w:ind w:firstLine="708"/>
        <w:jc w:val="both"/>
        <w:rPr>
          <w:rFonts w:ascii="Times New Roman" w:hAnsi="Times New Roman"/>
          <w:sz w:val="28"/>
          <w:szCs w:val="28"/>
        </w:rPr>
      </w:pPr>
      <w:r>
        <w:rPr>
          <w:rFonts w:ascii="Times New Roman" w:hAnsi="Times New Roman"/>
          <w:sz w:val="28"/>
          <w:szCs w:val="28"/>
        </w:rPr>
        <w:t>V. Обеспечение доступа граждан старшего поколения  к социально-культурным услугам:</w:t>
      </w:r>
    </w:p>
    <w:p>
      <w:pPr>
        <w:pStyle w:val="Normal"/>
        <w:ind w:firstLine="708"/>
        <w:jc w:val="both"/>
        <w:rPr>
          <w:rFonts w:ascii="Times New Roman" w:hAnsi="Times New Roman"/>
          <w:sz w:val="28"/>
          <w:szCs w:val="28"/>
        </w:rPr>
      </w:pPr>
      <w:r>
        <w:rPr>
          <w:rFonts w:ascii="Times New Roman" w:hAnsi="Times New Roman"/>
          <w:sz w:val="28"/>
          <w:szCs w:val="28"/>
        </w:rPr>
        <w:t>1. Для граждан старшего поколения в 2024 году проведено 510 культурно-досуговых мероприятий (концерты, вечера отдыха, экскурсии, литературные вечера, мероприятия по пропаганде здорового образа жизни и др.).</w:t>
      </w:r>
    </w:p>
    <w:p>
      <w:pPr>
        <w:pStyle w:val="NoSpacing"/>
        <w:ind w:firstLine="708"/>
        <w:jc w:val="both"/>
        <w:rPr>
          <w:rFonts w:ascii="Times New Roman" w:hAnsi="Times New Roman"/>
          <w:sz w:val="28"/>
          <w:szCs w:val="28"/>
        </w:rPr>
      </w:pPr>
      <w:r>
        <w:rPr>
          <w:rFonts w:ascii="Times New Roman" w:hAnsi="Times New Roman"/>
          <w:sz w:val="28"/>
          <w:szCs w:val="28"/>
        </w:rPr>
        <w:t>2. Для граждан старшего поколения на базе МБУ «Культурно-досуговое объединение» организована работа    клуба ветеранов  «От сердца к сердцу», народного хора ветеранов войны и труда,  вокального  ансамбля «Народный хор ветеранов войны и труда», вокального ансамбля «Бабье лето», многопрофильного клуба старшего поколения «В ритмах ретро». Данные объединения посещают  90 граждан старшего поколения.</w:t>
      </w:r>
    </w:p>
    <w:p>
      <w:pPr>
        <w:pStyle w:val="ConsPlusNormal"/>
        <w:ind w:firstLine="708"/>
        <w:jc w:val="both"/>
        <w:rPr>
          <w:rFonts w:ascii="Times New Roman" w:hAnsi="Times New Roman"/>
          <w:sz w:val="28"/>
          <w:szCs w:val="28"/>
        </w:rPr>
      </w:pPr>
      <w:r>
        <w:rPr>
          <w:rFonts w:cs="Times New Roman" w:ascii="Times New Roman" w:hAnsi="Times New Roman"/>
          <w:sz w:val="28"/>
          <w:szCs w:val="28"/>
        </w:rPr>
        <w:t>Реестр   центров активного долголетия (клубов по интересам, кружков), осуществляющих деятельность на территории города представлен в приложении № 3 к муниципальной программе.</w:t>
      </w:r>
    </w:p>
    <w:p>
      <w:pPr>
        <w:pStyle w:val="Normal"/>
        <w:jc w:val="both"/>
        <w:rPr/>
      </w:pPr>
      <w:r>
        <w:rPr>
          <w:rFonts w:ascii="Times New Roman" w:hAnsi="Times New Roman"/>
          <w:sz w:val="28"/>
          <w:szCs w:val="28"/>
        </w:rPr>
        <w:tab/>
      </w:r>
    </w:p>
    <w:p>
      <w:pPr>
        <w:pStyle w:val="NoSpacing"/>
        <w:jc w:val="center"/>
        <w:rPr>
          <w:rFonts w:ascii="Times New Roman" w:hAnsi="Times New Roman" w:eastAsia="Calibri" w:eastAsiaTheme="minorHAnsi"/>
          <w:b/>
          <w:b/>
          <w:sz w:val="28"/>
          <w:szCs w:val="28"/>
          <w:lang w:eastAsia="en-US"/>
        </w:rPr>
      </w:pPr>
      <w:r>
        <w:rPr>
          <w:rFonts w:eastAsia="Calibri" w:ascii="Times New Roman" w:hAnsi="Times New Roman" w:eastAsiaTheme="minorHAnsi"/>
          <w:sz w:val="28"/>
          <w:szCs w:val="28"/>
          <w:lang w:eastAsia="en-US"/>
        </w:rPr>
        <w:t>2</w:t>
      </w:r>
      <w:r>
        <w:rPr>
          <w:rFonts w:eastAsia="Calibri" w:ascii="Times New Roman" w:hAnsi="Times New Roman" w:eastAsiaTheme="minorHAnsi"/>
          <w:b/>
          <w:sz w:val="28"/>
          <w:szCs w:val="28"/>
          <w:lang w:eastAsia="en-US"/>
        </w:rPr>
        <w:t>. Приоритеты городской политики в сфере реализации муниципальной программы, цели, задачи, сроки и этапы реализации муниципальной программы</w:t>
      </w:r>
    </w:p>
    <w:p>
      <w:pPr>
        <w:pStyle w:val="NoSpacing"/>
        <w:ind w:firstLine="708"/>
        <w:jc w:val="both"/>
        <w:rPr>
          <w:rFonts w:ascii="Times New Roman" w:hAnsi="Times New Roman"/>
          <w:sz w:val="28"/>
          <w:szCs w:val="28"/>
        </w:rPr>
      </w:pPr>
      <w:r>
        <w:rPr>
          <w:rFonts w:ascii="Times New Roman" w:hAnsi="Times New Roman"/>
          <w:sz w:val="28"/>
          <w:szCs w:val="28"/>
        </w:rPr>
        <w:t>Приоритетом муниципальной политики в сфере реализации программы является повышение эффективности социальной поддержки отдельных групп населения, в том числе путем усиления адресности предоставляемой помощи.</w:t>
      </w:r>
    </w:p>
    <w:p>
      <w:pPr>
        <w:pStyle w:val="NoSpacing"/>
        <w:ind w:firstLine="708"/>
        <w:jc w:val="both"/>
        <w:rPr>
          <w:rFonts w:ascii="Times New Roman" w:hAnsi="Times New Roman"/>
          <w:sz w:val="28"/>
          <w:szCs w:val="28"/>
        </w:rPr>
      </w:pPr>
      <w:r>
        <w:rPr>
          <w:rFonts w:ascii="Times New Roman" w:hAnsi="Times New Roman"/>
          <w:sz w:val="28"/>
          <w:szCs w:val="28"/>
        </w:rPr>
        <w:t>Основной целью программы является:</w:t>
      </w:r>
    </w:p>
    <w:p>
      <w:pPr>
        <w:pStyle w:val="NoSpacing"/>
        <w:ind w:firstLine="708"/>
        <w:jc w:val="both"/>
        <w:rPr>
          <w:rFonts w:ascii="Times New Roman" w:hAnsi="Times New Roman"/>
          <w:sz w:val="28"/>
          <w:szCs w:val="28"/>
        </w:rPr>
      </w:pPr>
      <w:r>
        <w:rPr>
          <w:rFonts w:ascii="Times New Roman" w:hAnsi="Times New Roman"/>
          <w:sz w:val="28"/>
          <w:szCs w:val="28"/>
        </w:rPr>
        <w:t>Укрепление здоровья, увеличение периода активного долголетия и продолжительности жизни граждан старшего поколения, в том числе предусматривающее участие граждан старшего поколения в образовательных проектах, культурно-досуговых мероприятиях, занятиях физической культурой и спортом, а также в добровольческой (волонтерской) деятельности</w:t>
      </w:r>
    </w:p>
    <w:p>
      <w:pPr>
        <w:pStyle w:val="NoSpacing"/>
        <w:ind w:firstLine="708"/>
        <w:jc w:val="both"/>
        <w:rPr>
          <w:rFonts w:ascii="Times New Roman" w:hAnsi="Times New Roman"/>
          <w:sz w:val="28"/>
          <w:szCs w:val="28"/>
        </w:rPr>
      </w:pPr>
      <w:r>
        <w:rPr>
          <w:rFonts w:ascii="Times New Roman" w:hAnsi="Times New Roman"/>
          <w:sz w:val="28"/>
          <w:szCs w:val="28"/>
        </w:rPr>
        <w:t>Достижение данных целей программы будет осуществляться путем решения следующей задачи:</w:t>
      </w:r>
    </w:p>
    <w:p>
      <w:pPr>
        <w:pStyle w:val="NoSpacing"/>
        <w:ind w:firstLine="708"/>
        <w:jc w:val="both"/>
        <w:rPr>
          <w:rFonts w:ascii="Times New Roman" w:hAnsi="Times New Roman"/>
          <w:sz w:val="28"/>
          <w:szCs w:val="28"/>
        </w:rPr>
      </w:pPr>
      <w:r>
        <w:rPr>
          <w:rFonts w:ascii="Times New Roman" w:hAnsi="Times New Roman"/>
          <w:sz w:val="28"/>
          <w:szCs w:val="28"/>
        </w:rPr>
        <w:t>Продление активного долголетия граждан старшего поколения, создание условий для реализации их личностного потенциала.</w:t>
      </w:r>
    </w:p>
    <w:p>
      <w:pPr>
        <w:pStyle w:val="NoSpacing"/>
        <w:ind w:firstLine="60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Программа реализуется в 2025 - 2030 годах. Этапы реализации программы не выделяются.</w:t>
      </w:r>
    </w:p>
    <w:p>
      <w:pPr>
        <w:pStyle w:val="ListParagraph"/>
        <w:numPr>
          <w:ilvl w:val="0"/>
          <w:numId w:val="3"/>
        </w:numPr>
        <w:spacing w:before="220" w:after="0"/>
        <w:ind w:left="0" w:firstLine="709"/>
        <w:contextualSpacing/>
        <w:jc w:val="center"/>
        <w:rPr>
          <w:rFonts w:ascii="Times New Roman" w:hAnsi="Times New Roman" w:eastAsia="Calibri" w:eastAsiaTheme="minorHAnsi"/>
          <w:b/>
          <w:b/>
          <w:sz w:val="28"/>
          <w:szCs w:val="28"/>
          <w:lang w:eastAsia="en-US"/>
        </w:rPr>
      </w:pPr>
      <w:r>
        <w:rPr>
          <w:rFonts w:eastAsia="Calibri" w:ascii="Times New Roman" w:hAnsi="Times New Roman" w:eastAsiaTheme="minorHAnsi"/>
          <w:b/>
          <w:sz w:val="28"/>
          <w:szCs w:val="28"/>
          <w:lang w:eastAsia="en-US"/>
        </w:rPr>
        <w:t>Показатели (индикаторы) достижения целей и решения задач, основные ожидаемые конечные результаты муниципальной программы</w:t>
      </w:r>
    </w:p>
    <w:p>
      <w:pPr>
        <w:pStyle w:val="NoSpacing"/>
        <w:ind w:firstLine="600"/>
        <w:jc w:val="both"/>
        <w:rPr>
          <w:rFonts w:ascii="Times New Roman" w:hAnsi="Times New Roman"/>
          <w:sz w:val="28"/>
          <w:szCs w:val="28"/>
        </w:rPr>
      </w:pPr>
      <w:r>
        <w:rPr>
          <w:rFonts w:ascii="Times New Roman" w:hAnsi="Times New Roman"/>
          <w:sz w:val="28"/>
          <w:szCs w:val="28"/>
        </w:rPr>
        <w:t>Целевым показателем (индикатором) достижения цели программы является:</w:t>
      </w:r>
    </w:p>
    <w:p>
      <w:pPr>
        <w:pStyle w:val="NoSpacing"/>
        <w:ind w:firstLine="600"/>
        <w:jc w:val="both"/>
        <w:rPr>
          <w:rFonts w:ascii="Times New Roman" w:hAnsi="Times New Roman"/>
          <w:sz w:val="28"/>
          <w:szCs w:val="28"/>
        </w:rPr>
      </w:pPr>
      <w:r>
        <w:rPr>
          <w:rFonts w:ascii="Times New Roman" w:hAnsi="Times New Roman"/>
          <w:sz w:val="28"/>
          <w:szCs w:val="28"/>
        </w:rPr>
        <w:t>- доля граждан старшего поколения, вовлеченных в муниципальную  программу «Активное долголетие».</w:t>
      </w:r>
    </w:p>
    <w:p>
      <w:pPr>
        <w:pStyle w:val="NoSpacing"/>
        <w:ind w:firstLine="540"/>
        <w:jc w:val="both"/>
        <w:rPr/>
      </w:pPr>
      <w:hyperlink w:anchor="P352">
        <w:r>
          <w:rPr>
            <w:rStyle w:val="Style15"/>
            <w:rFonts w:ascii="Times New Roman" w:hAnsi="Times New Roman"/>
            <w:color w:val="0000FF"/>
            <w:sz w:val="28"/>
            <w:szCs w:val="28"/>
          </w:rPr>
          <w:t>Перечень</w:t>
        </w:r>
      </w:hyperlink>
      <w:r>
        <w:rPr>
          <w:rFonts w:ascii="Times New Roman" w:hAnsi="Times New Roman"/>
          <w:sz w:val="28"/>
          <w:szCs w:val="28"/>
        </w:rPr>
        <w:t xml:space="preserve"> целевых показателей (индикаторов) и их значения представлены в приложении  N 1 к муниципальной программе.</w:t>
      </w:r>
    </w:p>
    <w:p>
      <w:pPr>
        <w:pStyle w:val="Normal"/>
        <w:spacing w:before="220" w:after="0"/>
        <w:ind w:firstLine="540"/>
        <w:jc w:val="center"/>
        <w:rPr>
          <w:rFonts w:ascii="Times New Roman" w:hAnsi="Times New Roman" w:eastAsia="Calibri" w:eastAsiaTheme="minorHAnsi"/>
          <w:b/>
          <w:b/>
          <w:sz w:val="28"/>
          <w:szCs w:val="28"/>
          <w:lang w:eastAsia="en-US"/>
        </w:rPr>
      </w:pPr>
      <w:r>
        <w:rPr>
          <w:rFonts w:eastAsia="Calibri" w:ascii="Times New Roman" w:hAnsi="Times New Roman" w:eastAsiaTheme="minorHAnsi"/>
          <w:b/>
          <w:sz w:val="28"/>
          <w:szCs w:val="28"/>
          <w:lang w:eastAsia="en-US"/>
        </w:rPr>
        <w:t>4. Обобщенная характеристика мероприятий муниципальной программы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Для решения задач муниципальной программы «Активное долголетие»  будут реализованы мероприятия, направленные на вовлечение граждан пожилого возраста в занятия физической культурой и спортом, «серебряное» волонтерство, образовательные и культурно-досуговые услуги.</w:t>
      </w:r>
    </w:p>
    <w:p>
      <w:pPr>
        <w:pStyle w:val="ConsPlusNormal"/>
        <w:ind w:firstLine="540"/>
        <w:jc w:val="both"/>
        <w:rPr/>
      </w:pPr>
      <w:r>
        <w:rPr>
          <w:rFonts w:cs="Times New Roman" w:ascii="Times New Roman" w:hAnsi="Times New Roman"/>
          <w:sz w:val="28"/>
          <w:szCs w:val="28"/>
        </w:rPr>
        <w:t xml:space="preserve">Информация о мероприятиях, реализуемых в рамках программы, приведена в </w:t>
      </w:r>
      <w:hyperlink w:anchor="P544">
        <w:r>
          <w:rPr>
            <w:rStyle w:val="Style15"/>
            <w:rFonts w:cs="Times New Roman" w:ascii="Times New Roman" w:hAnsi="Times New Roman"/>
            <w:color w:val="0000FF"/>
            <w:sz w:val="28"/>
            <w:szCs w:val="28"/>
          </w:rPr>
          <w:t>приложении N 2</w:t>
        </w:r>
      </w:hyperlink>
      <w:r>
        <w:rPr>
          <w:rFonts w:cs="Times New Roman" w:ascii="Times New Roman" w:hAnsi="Times New Roman"/>
          <w:sz w:val="28"/>
          <w:szCs w:val="28"/>
        </w:rPr>
        <w:t xml:space="preserve"> к муниципальной программе.</w:t>
      </w:r>
    </w:p>
    <w:p>
      <w:pPr>
        <w:pStyle w:val="NoSpacing"/>
        <w:jc w:val="center"/>
        <w:rPr>
          <w:rFonts w:ascii="Times New Roman" w:hAnsi="Times New Roman" w:eastAsia="Calibri" w:eastAsiaTheme="minorHAnsi"/>
          <w:b/>
          <w:b/>
          <w:sz w:val="28"/>
          <w:szCs w:val="28"/>
          <w:lang w:eastAsia="en-US"/>
        </w:rPr>
      </w:pPr>
      <w:r>
        <w:rPr>
          <w:rFonts w:eastAsia="Calibri" w:eastAsiaTheme="minorHAnsi" w:ascii="Times New Roman" w:hAnsi="Times New Roman"/>
          <w:b/>
          <w:sz w:val="28"/>
          <w:szCs w:val="28"/>
          <w:lang w:eastAsia="en-US"/>
        </w:rPr>
      </w:r>
    </w:p>
    <w:p>
      <w:pPr>
        <w:pStyle w:val="NoSpacing"/>
        <w:jc w:val="center"/>
        <w:rPr>
          <w:rFonts w:ascii="Times New Roman" w:hAnsi="Times New Roman" w:eastAsia="Calibri" w:eastAsiaTheme="minorHAnsi"/>
          <w:b/>
          <w:b/>
          <w:sz w:val="28"/>
          <w:szCs w:val="28"/>
          <w:lang w:eastAsia="en-US"/>
        </w:rPr>
      </w:pPr>
      <w:r>
        <w:rPr>
          <w:rFonts w:eastAsia="Calibri" w:ascii="Times New Roman" w:hAnsi="Times New Roman" w:eastAsiaTheme="minorHAnsi"/>
          <w:b/>
          <w:sz w:val="28"/>
          <w:szCs w:val="28"/>
          <w:lang w:eastAsia="en-US"/>
        </w:rPr>
        <w:t xml:space="preserve">5. Обоснование объема финансовых ресурсов, </w:t>
      </w:r>
    </w:p>
    <w:p>
      <w:pPr>
        <w:pStyle w:val="NoSpacing"/>
        <w:jc w:val="center"/>
        <w:rPr>
          <w:rFonts w:ascii="Times New Roman" w:hAnsi="Times New Roman" w:eastAsia="Calibri" w:eastAsiaTheme="minorHAnsi"/>
          <w:b/>
          <w:b/>
          <w:sz w:val="28"/>
          <w:szCs w:val="28"/>
          <w:lang w:eastAsia="en-US"/>
        </w:rPr>
      </w:pPr>
      <w:r>
        <w:rPr>
          <w:rFonts w:eastAsia="Calibri" w:ascii="Times New Roman" w:hAnsi="Times New Roman" w:eastAsiaTheme="minorHAnsi"/>
          <w:b/>
          <w:sz w:val="28"/>
          <w:szCs w:val="28"/>
          <w:lang w:eastAsia="en-US"/>
        </w:rPr>
        <w:t>необходимых для реализации муниципальной программы.</w:t>
      </w:r>
    </w:p>
    <w:p>
      <w:pPr>
        <w:pStyle w:val="NoSpacing"/>
        <w:ind w:firstLine="708"/>
        <w:jc w:val="both"/>
        <w:rPr>
          <w:rFonts w:ascii="Times New Roman" w:hAnsi="Times New Roman"/>
          <w:sz w:val="28"/>
          <w:szCs w:val="28"/>
        </w:rPr>
      </w:pPr>
      <w:r>
        <w:rPr>
          <w:rFonts w:ascii="Times New Roman" w:hAnsi="Times New Roman"/>
          <w:sz w:val="28"/>
          <w:szCs w:val="28"/>
        </w:rPr>
        <w:t>Объем бюджетных ассигнований составляет - 0 рублей.</w:t>
      </w:r>
    </w:p>
    <w:p>
      <w:pPr>
        <w:pStyle w:val="Normal"/>
        <w:spacing w:before="220" w:after="0"/>
        <w:ind w:firstLine="540"/>
        <w:jc w:val="both"/>
        <w:rPr>
          <w:rFonts w:eastAsia="Calibri" w:cs="Calibri" w:eastAsiaTheme="minorHAnsi"/>
          <w:lang w:eastAsia="en-US"/>
        </w:rPr>
      </w:pPr>
      <w:r>
        <w:rPr>
          <w:rFonts w:eastAsia="Calibri" w:cs="Calibri" w:eastAsiaTheme="minorHAnsi"/>
          <w:lang w:eastAsia="en-US"/>
        </w:rPr>
      </w:r>
    </w:p>
    <w:p>
      <w:pPr>
        <w:pStyle w:val="NoSpacing"/>
        <w:jc w:val="center"/>
        <w:rPr>
          <w:rFonts w:ascii="Times New Roman" w:hAnsi="Times New Roman" w:eastAsia="Calibri" w:eastAsiaTheme="minorHAnsi"/>
          <w:sz w:val="28"/>
          <w:szCs w:val="28"/>
          <w:lang w:eastAsia="en-US"/>
        </w:rPr>
      </w:pPr>
      <w:r>
        <w:rPr>
          <w:rFonts w:eastAsia="Calibri" w:ascii="Times New Roman" w:hAnsi="Times New Roman" w:eastAsiaTheme="minorHAnsi"/>
          <w:b/>
          <w:sz w:val="28"/>
          <w:szCs w:val="28"/>
          <w:lang w:eastAsia="en-US"/>
        </w:rPr>
        <w:t>6. Механизмы реализации муниципальной программы</w:t>
      </w:r>
      <w:r>
        <w:rPr>
          <w:rFonts w:eastAsia="Calibri" w:ascii="Times New Roman" w:hAnsi="Times New Roman" w:eastAsiaTheme="minorHAnsi"/>
          <w:sz w:val="28"/>
          <w:szCs w:val="28"/>
          <w:lang w:eastAsia="en-US"/>
        </w:rPr>
        <w:t>.</w:t>
      </w:r>
    </w:p>
    <w:p>
      <w:pPr>
        <w:pStyle w:val="NoSpacing"/>
        <w:ind w:firstLine="708"/>
        <w:jc w:val="both"/>
        <w:rPr/>
      </w:pPr>
      <w:r>
        <w:rPr>
          <w:rFonts w:ascii="Times New Roman" w:hAnsi="Times New Roman"/>
          <w:sz w:val="28"/>
          <w:szCs w:val="28"/>
        </w:rPr>
        <w:t xml:space="preserve">Реализация муниципальной программы осуществляется во взаимодействии разработчика (ответственного исполнителя) с соисполнителями в </w:t>
      </w:r>
      <w:hyperlink r:id="rId2">
        <w:r>
          <w:rPr>
            <w:rStyle w:val="Style15"/>
            <w:rFonts w:ascii="Times New Roman" w:hAnsi="Times New Roman"/>
            <w:color w:val="0000FF"/>
            <w:sz w:val="28"/>
            <w:szCs w:val="28"/>
          </w:rPr>
          <w:t>порядке</w:t>
        </w:r>
      </w:hyperlink>
      <w:r>
        <w:rPr>
          <w:rFonts w:ascii="Times New Roman" w:hAnsi="Times New Roman"/>
          <w:sz w:val="28"/>
          <w:szCs w:val="28"/>
        </w:rPr>
        <w:t>, установленном Постановлением администрации города от 04.10.2013 N 1756 "Об утверждении Порядка разработки, утверждения и реализации муниципальных программ города Рассказово".</w:t>
      </w:r>
    </w:p>
    <w:p>
      <w:pPr>
        <w:pStyle w:val="NoSpacing"/>
        <w:ind w:firstLine="708"/>
        <w:jc w:val="both"/>
        <w:rPr>
          <w:rFonts w:ascii="Times New Roman" w:hAnsi="Times New Roman"/>
          <w:sz w:val="28"/>
          <w:szCs w:val="28"/>
        </w:rPr>
      </w:pPr>
      <w:r>
        <w:rPr>
          <w:rFonts w:ascii="Times New Roman" w:hAnsi="Times New Roman"/>
          <w:sz w:val="28"/>
          <w:szCs w:val="28"/>
        </w:rPr>
        <w:t>Разработчиком программы является отдел по развитию сферы туризма, молодежной политики, культуры и спорта администрации города.</w:t>
      </w:r>
    </w:p>
    <w:p>
      <w:pPr>
        <w:pStyle w:val="NoSpacing"/>
        <w:ind w:firstLine="708"/>
        <w:jc w:val="both"/>
        <w:rPr>
          <w:rFonts w:ascii="Times New Roman" w:hAnsi="Times New Roman"/>
          <w:sz w:val="28"/>
          <w:szCs w:val="28"/>
        </w:rPr>
      </w:pPr>
      <w:r>
        <w:rPr>
          <w:rFonts w:ascii="Times New Roman" w:hAnsi="Times New Roman"/>
          <w:sz w:val="28"/>
          <w:szCs w:val="28"/>
        </w:rPr>
        <w:t>Соисполнителями являются:</w:t>
      </w:r>
    </w:p>
    <w:p>
      <w:pPr>
        <w:pStyle w:val="NoSpacing"/>
        <w:ind w:firstLine="708"/>
        <w:jc w:val="both"/>
        <w:rPr>
          <w:rFonts w:ascii="Times New Roman" w:hAnsi="Times New Roman"/>
          <w:sz w:val="28"/>
          <w:szCs w:val="28"/>
        </w:rPr>
      </w:pPr>
      <w:r>
        <w:rPr>
          <w:rFonts w:ascii="Times New Roman" w:hAnsi="Times New Roman"/>
          <w:sz w:val="28"/>
          <w:szCs w:val="28"/>
        </w:rPr>
        <w:t>- Отдел образования администрации города;</w:t>
      </w:r>
    </w:p>
    <w:p>
      <w:pPr>
        <w:pStyle w:val="NoSpacing"/>
        <w:ind w:firstLine="708"/>
        <w:jc w:val="both"/>
        <w:rPr>
          <w:rFonts w:ascii="Times New Roman" w:hAnsi="Times New Roman"/>
          <w:sz w:val="28"/>
          <w:szCs w:val="28"/>
        </w:rPr>
      </w:pPr>
      <w:r>
        <w:rPr>
          <w:rFonts w:ascii="Times New Roman" w:hAnsi="Times New Roman"/>
          <w:sz w:val="28"/>
          <w:szCs w:val="28"/>
        </w:rPr>
        <w:t>- Муниципальное бюджетное учреждение «Культурно-досуговое объединение»;</w:t>
      </w:r>
    </w:p>
    <w:p>
      <w:pPr>
        <w:pStyle w:val="NoSpacing"/>
        <w:ind w:firstLine="708"/>
        <w:jc w:val="both"/>
        <w:rPr>
          <w:rFonts w:ascii="Times New Roman" w:hAnsi="Times New Roman"/>
          <w:sz w:val="28"/>
          <w:szCs w:val="28"/>
        </w:rPr>
      </w:pPr>
      <w:r>
        <w:rPr>
          <w:rFonts w:ascii="Times New Roman" w:hAnsi="Times New Roman"/>
          <w:sz w:val="28"/>
          <w:szCs w:val="28"/>
        </w:rPr>
        <w:t>- Муниципальное бюджетное учреждение «Централизованная библиотечная система»;</w:t>
      </w:r>
    </w:p>
    <w:p>
      <w:pPr>
        <w:pStyle w:val="NoSpacing"/>
        <w:ind w:firstLine="708"/>
        <w:jc w:val="both"/>
        <w:rPr>
          <w:rFonts w:ascii="Times New Roman" w:hAnsi="Times New Roman"/>
          <w:sz w:val="28"/>
          <w:szCs w:val="28"/>
        </w:rPr>
      </w:pPr>
      <w:r>
        <w:rPr>
          <w:rFonts w:ascii="Times New Roman" w:hAnsi="Times New Roman"/>
          <w:sz w:val="28"/>
          <w:szCs w:val="28"/>
        </w:rPr>
        <w:t>- Муниципальное бюджетное учреждение дополнительного образования «Детско-юношеская спортивная школа города Рассказово».</w:t>
      </w:r>
    </w:p>
    <w:p>
      <w:pPr>
        <w:pStyle w:val="NoSpacing"/>
        <w:ind w:firstLine="708"/>
        <w:jc w:val="both"/>
        <w:rPr>
          <w:rFonts w:ascii="Times New Roman" w:hAnsi="Times New Roman"/>
          <w:sz w:val="28"/>
          <w:szCs w:val="28"/>
        </w:rPr>
      </w:pPr>
      <w:r>
        <w:rPr>
          <w:rFonts w:ascii="Times New Roman" w:hAnsi="Times New Roman"/>
          <w:sz w:val="28"/>
          <w:szCs w:val="28"/>
        </w:rPr>
        <w:t>Муниципальная программа предусматривает персональную ответственность соисполнителей за реализацию закрепленных за ними мероприятий.</w:t>
      </w:r>
    </w:p>
    <w:p>
      <w:pPr>
        <w:pStyle w:val="NoSpacing"/>
        <w:ind w:firstLine="708"/>
        <w:jc w:val="both"/>
        <w:rPr>
          <w:rFonts w:ascii="Times New Roman" w:hAnsi="Times New Roman"/>
          <w:sz w:val="28"/>
          <w:szCs w:val="28"/>
        </w:rPr>
      </w:pPr>
      <w:r>
        <w:rPr>
          <w:rFonts w:ascii="Times New Roman" w:hAnsi="Times New Roman"/>
          <w:sz w:val="28"/>
          <w:szCs w:val="28"/>
        </w:rPr>
        <w:t>Для единого подхода к выполнению всего комплекса мероприятий муниципальной программы, целенаправленного и эффективного расходования финансовых средств, выделенных на ее реализацию, обеспечивается четкое взаимодействие между всеми соисполнителями муниципальной программы.</w:t>
      </w:r>
    </w:p>
    <w:p>
      <w:pPr>
        <w:pStyle w:val="NoSpacing"/>
        <w:ind w:firstLine="708"/>
        <w:jc w:val="both"/>
        <w:rPr>
          <w:rFonts w:ascii="Times New Roman" w:hAnsi="Times New Roman"/>
          <w:sz w:val="28"/>
          <w:szCs w:val="28"/>
        </w:rPr>
      </w:pPr>
      <w:r>
        <w:rPr>
          <w:rFonts w:ascii="Times New Roman" w:hAnsi="Times New Roman"/>
          <w:sz w:val="28"/>
          <w:szCs w:val="28"/>
        </w:rPr>
        <w:t>Разработчик:</w:t>
      </w:r>
    </w:p>
    <w:p>
      <w:pPr>
        <w:pStyle w:val="NoSpacing"/>
        <w:ind w:firstLine="708"/>
        <w:jc w:val="both"/>
        <w:rPr>
          <w:rFonts w:ascii="Times New Roman" w:hAnsi="Times New Roman"/>
          <w:sz w:val="28"/>
          <w:szCs w:val="28"/>
        </w:rPr>
      </w:pPr>
      <w:r>
        <w:rPr>
          <w:rFonts w:ascii="Times New Roman" w:hAnsi="Times New Roman"/>
          <w:sz w:val="28"/>
          <w:szCs w:val="28"/>
        </w:rPr>
        <w:t>организует реализацию муниципальной программы, вносит предложение о внесении в нее изменений и несет ответственность за достижение показателей (индикаторов) муниципальной программы в целом, а также конечных результатов ее реализации;</w:t>
      </w:r>
    </w:p>
    <w:p>
      <w:pPr>
        <w:pStyle w:val="NoSpacing"/>
        <w:ind w:firstLine="708"/>
        <w:jc w:val="both"/>
        <w:rPr>
          <w:rFonts w:ascii="Times New Roman" w:hAnsi="Times New Roman"/>
          <w:sz w:val="28"/>
          <w:szCs w:val="28"/>
        </w:rPr>
      </w:pPr>
      <w:r>
        <w:rPr>
          <w:rFonts w:ascii="Times New Roman" w:hAnsi="Times New Roman"/>
          <w:sz w:val="28"/>
          <w:szCs w:val="28"/>
        </w:rPr>
        <w:t>запрашивает у соисполнителей сведения, необходимые для проведения мониторинга и подготовки полугодового и годового отчетов о ходе реализации муниципальной программы (далее - отчеты);</w:t>
      </w:r>
    </w:p>
    <w:p>
      <w:pPr>
        <w:pStyle w:val="NoSpacing"/>
        <w:ind w:firstLine="708"/>
        <w:jc w:val="both"/>
        <w:rPr>
          <w:rFonts w:ascii="Times New Roman" w:hAnsi="Times New Roman"/>
          <w:sz w:val="28"/>
          <w:szCs w:val="28"/>
        </w:rPr>
      </w:pPr>
      <w:r>
        <w:rPr>
          <w:rFonts w:ascii="Times New Roman" w:hAnsi="Times New Roman"/>
          <w:sz w:val="28"/>
          <w:szCs w:val="28"/>
        </w:rPr>
        <w:t>готовит отчеты.</w:t>
      </w:r>
    </w:p>
    <w:p>
      <w:pPr>
        <w:pStyle w:val="NoSpacing"/>
        <w:ind w:firstLine="708"/>
        <w:jc w:val="both"/>
        <w:rPr>
          <w:rFonts w:ascii="Times New Roman" w:hAnsi="Times New Roman"/>
          <w:sz w:val="28"/>
          <w:szCs w:val="28"/>
        </w:rPr>
      </w:pPr>
      <w:r>
        <w:rPr>
          <w:rFonts w:ascii="Times New Roman" w:hAnsi="Times New Roman"/>
          <w:sz w:val="28"/>
          <w:szCs w:val="28"/>
        </w:rPr>
        <w:t>Соисполнители:</w:t>
      </w:r>
    </w:p>
    <w:p>
      <w:pPr>
        <w:pStyle w:val="NoSpacing"/>
        <w:ind w:firstLine="708"/>
        <w:jc w:val="both"/>
        <w:rPr>
          <w:rFonts w:ascii="Times New Roman" w:hAnsi="Times New Roman"/>
          <w:sz w:val="28"/>
          <w:szCs w:val="28"/>
        </w:rPr>
      </w:pPr>
      <w:r>
        <w:rPr>
          <w:rFonts w:ascii="Times New Roman" w:hAnsi="Times New Roman"/>
          <w:sz w:val="28"/>
          <w:szCs w:val="28"/>
        </w:rPr>
        <w:t>осуществляют реализацию основных мероприятий, в отношении которых они являются соисполнителями, вносят разработчику муниципальной программы предложения о необходимости внесения изменений в муниципальную программу;</w:t>
      </w:r>
    </w:p>
    <w:p>
      <w:pPr>
        <w:pStyle w:val="NoSpacing"/>
        <w:ind w:firstLine="708"/>
        <w:jc w:val="both"/>
        <w:rPr/>
      </w:pPr>
      <w:r>
        <w:rPr>
          <w:rFonts w:ascii="Times New Roman" w:hAnsi="Times New Roman"/>
          <w:sz w:val="28"/>
          <w:szCs w:val="28"/>
        </w:rPr>
        <w:t xml:space="preserve">представляют разработчику муниципальной программы сведения, необходимые для проведения мониторинга муниципальной программы (за полугодие и за год) в сроки, определенные </w:t>
      </w:r>
      <w:hyperlink r:id="rId3">
        <w:r>
          <w:rPr>
            <w:rStyle w:val="Style15"/>
            <w:rFonts w:ascii="Times New Roman" w:hAnsi="Times New Roman"/>
            <w:color w:val="0000FF"/>
            <w:sz w:val="28"/>
            <w:szCs w:val="28"/>
          </w:rPr>
          <w:t>постановлением</w:t>
        </w:r>
      </w:hyperlink>
      <w:r>
        <w:rPr>
          <w:rFonts w:ascii="Times New Roman" w:hAnsi="Times New Roman"/>
          <w:sz w:val="28"/>
          <w:szCs w:val="28"/>
        </w:rPr>
        <w:t xml:space="preserve"> администрации города от 04.10.2013 N 1756;</w:t>
      </w:r>
    </w:p>
    <w:p>
      <w:pPr>
        <w:pStyle w:val="NoSpacing"/>
        <w:ind w:firstLine="708"/>
        <w:jc w:val="both"/>
        <w:rPr>
          <w:rFonts w:ascii="Times New Roman" w:hAnsi="Times New Roman"/>
          <w:sz w:val="28"/>
          <w:szCs w:val="28"/>
        </w:rPr>
      </w:pPr>
      <w:r>
        <w:rPr>
          <w:rFonts w:ascii="Times New Roman" w:hAnsi="Times New Roman"/>
          <w:sz w:val="28"/>
          <w:szCs w:val="28"/>
        </w:rPr>
        <w:t>представляют разработчику муниципальной программы оперативную информацию, необходимую для подготовки отчетов и анализа реализации муниципальной программы.</w:t>
      </w:r>
    </w:p>
    <w:p>
      <w:pPr>
        <w:pStyle w:val="NoSpacing"/>
        <w:ind w:firstLine="708"/>
        <w:jc w:val="both"/>
        <w:rPr>
          <w:rFonts w:ascii="Times New Roman" w:hAnsi="Times New Roman"/>
          <w:sz w:val="28"/>
          <w:szCs w:val="28"/>
        </w:rPr>
      </w:pPr>
      <w:r>
        <w:rPr>
          <w:rFonts w:ascii="Times New Roman" w:hAnsi="Times New Roman"/>
          <w:sz w:val="28"/>
          <w:szCs w:val="28"/>
        </w:rPr>
        <w:t>Внесение изменений в муниципальную программу осуществляется по инициативе соисполнителей, либо во исполнение поручений администрации города, в том числе с учетом результатов оценки эффективности реализации муниципальной программы.</w:t>
      </w:r>
    </w:p>
    <w:p>
      <w:pPr>
        <w:pStyle w:val="NoSpacing"/>
        <w:ind w:firstLine="708"/>
        <w:jc w:val="both"/>
        <w:rPr>
          <w:rFonts w:ascii="Times New Roman" w:hAnsi="Times New Roman"/>
          <w:sz w:val="28"/>
          <w:szCs w:val="28"/>
        </w:rPr>
      </w:pPr>
      <w:r>
        <w:rPr>
          <w:rFonts w:ascii="Times New Roman" w:hAnsi="Times New Roman"/>
          <w:sz w:val="28"/>
          <w:szCs w:val="28"/>
        </w:rPr>
        <w:t>Разработчик размещает на официальном сайте в информационно-телекоммуникационной сети "Интернет" информацию о ходе реализации муниципальной программы, достижении значений показателей (индикаторов) муниципальной программы, степени выполнения мероприятий муниципальной программы.</w:t>
      </w:r>
    </w:p>
    <w:p>
      <w:pPr>
        <w:pStyle w:val="ConsPlusNormal"/>
        <w:spacing w:before="220" w:after="0"/>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sectPr>
          <w:headerReference w:type="default" r:id="rId4"/>
          <w:type w:val="nextPage"/>
          <w:pgSz w:w="11906" w:h="16838"/>
          <w:pgMar w:left="1701" w:right="566" w:header="0" w:top="709" w:footer="0" w:bottom="1134" w:gutter="0"/>
          <w:pgNumType w:fmt="decimal"/>
          <w:formProt w:val="false"/>
          <w:titlePg/>
          <w:textDirection w:val="lrTb"/>
          <w:docGrid w:type="default" w:linePitch="360" w:charSpace="8192"/>
        </w:sectPr>
        <w:pStyle w:val="ConsPlusNormal"/>
        <w:ind w:firstLine="540"/>
        <w:jc w:val="both"/>
        <w:rPr/>
      </w:pPr>
      <w:r>
        <w:rPr/>
      </w:r>
    </w:p>
    <w:p>
      <w:pPr>
        <w:pStyle w:val="ConsPlusNormal"/>
        <w:rPr/>
      </w:pPr>
      <w:r>
        <w:rPr/>
      </w:r>
    </w:p>
    <w:sectPr>
      <w:headerReference w:type="default" r:id="rId5"/>
      <w:type w:val="nextPage"/>
      <w:pgSz w:orient="landscape" w:w="16838" w:h="11906"/>
      <w:pgMar w:left="1134" w:right="1134" w:header="0" w:top="851" w:footer="0" w:bottom="850" w:gutter="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714870371"/>
    </w:sdtPr>
    <w:sdtContent>
      <w:p>
        <w:pPr>
          <w:pStyle w:val="Style23"/>
          <w:jc w:val="center"/>
          <w:rPr/>
        </w:pPr>
        <w:r>
          <w:rPr/>
        </w:r>
      </w:p>
      <w:p>
        <w:pPr>
          <w:pStyle w:val="Style23"/>
          <w:jc w:val="center"/>
          <w:rPr/>
        </w:pPr>
        <w:r>
          <w:rPr>
            <w:rFonts w:ascii="Times New Roman" w:hAnsi="Times New Roman"/>
          </w:rPr>
          <w:fldChar w:fldCharType="begin"/>
        </w:r>
        <w:r>
          <w:instrText> PAGE </w:instrText>
        </w:r>
        <w:r>
          <w:fldChar w:fldCharType="separate"/>
        </w:r>
        <w:r>
          <w:t>8</w:t>
        </w:r>
        <w:r>
          <w:fldChar w:fldCharType="end"/>
        </w:r>
      </w:p>
      <w:p>
        <w:pPr>
          <w:pStyle w:val="Style23"/>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621595547"/>
    </w:sdtPr>
    <w:sdtContent>
      <w:p>
        <w:pPr>
          <w:pStyle w:val="Style23"/>
          <w:jc w:val="center"/>
          <w:rPr/>
        </w:pPr>
        <w:r>
          <w:rPr/>
        </w:r>
      </w:p>
      <w:p>
        <w:pPr>
          <w:pStyle w:val="Style23"/>
          <w:jc w:val="center"/>
          <w:rPr/>
        </w:pPr>
        <w:r>
          <w:rPr>
            <w:rFonts w:ascii="Times New Roman" w:hAnsi="Times New Roman"/>
          </w:rPr>
          <w:fldChar w:fldCharType="begin"/>
        </w:r>
        <w:r>
          <w:instrText> PAGE </w:instrText>
        </w:r>
        <w:r>
          <w:fldChar w:fldCharType="separate"/>
        </w:r>
        <w:r>
          <w:t>0</w:t>
        </w:r>
        <w:r>
          <w:fldChar w:fldCharType="end"/>
        </w:r>
      </w:p>
      <w:p>
        <w:pPr>
          <w:pStyle w:val="Style23"/>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pStyle w:val="4"/>
      <w:numFmt w:val="decimal"/>
      <w:lvlText w:val="%4."/>
      <w:lvlJc w:val="left"/>
      <w:pPr>
        <w:ind w:left="3225" w:hanging="36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960" w:hanging="360"/>
      </w:pPr>
    </w:lvl>
    <w:lvl w:ilvl="1">
      <w:start w:val="2"/>
      <w:numFmt w:val="decimal"/>
      <w:lvlText w:val="%1.%2."/>
      <w:lvlJc w:val="left"/>
      <w:pPr>
        <w:ind w:left="1425" w:hanging="720"/>
      </w:pPr>
    </w:lvl>
    <w:lvl w:ilvl="2">
      <w:start w:val="1"/>
      <w:numFmt w:val="decimal"/>
      <w:lvlText w:val="%1.%2.%3."/>
      <w:lvlJc w:val="left"/>
      <w:pPr>
        <w:ind w:left="1530" w:hanging="720"/>
      </w:pPr>
    </w:lvl>
    <w:lvl w:ilvl="3">
      <w:start w:val="1"/>
      <w:numFmt w:val="decimal"/>
      <w:lvlText w:val="%1.%2.%3.%4."/>
      <w:lvlJc w:val="left"/>
      <w:pPr>
        <w:ind w:left="1995" w:hanging="1080"/>
      </w:pPr>
    </w:lvl>
    <w:lvl w:ilvl="4">
      <w:start w:val="1"/>
      <w:numFmt w:val="decimal"/>
      <w:lvlText w:val="%1.%2.%3.%4.%5."/>
      <w:lvlJc w:val="left"/>
      <w:pPr>
        <w:ind w:left="2100" w:hanging="1080"/>
      </w:pPr>
    </w:lvl>
    <w:lvl w:ilvl="5">
      <w:start w:val="1"/>
      <w:numFmt w:val="decimal"/>
      <w:lvlText w:val="%1.%2.%3.%4.%5.%6."/>
      <w:lvlJc w:val="left"/>
      <w:pPr>
        <w:ind w:left="2565" w:hanging="1440"/>
      </w:pPr>
    </w:lvl>
    <w:lvl w:ilvl="6">
      <w:start w:val="1"/>
      <w:numFmt w:val="decimal"/>
      <w:lvlText w:val="%1.%2.%3.%4.%5.%6.%7."/>
      <w:lvlJc w:val="left"/>
      <w:pPr>
        <w:ind w:left="3030" w:hanging="1800"/>
      </w:pPr>
    </w:lvl>
    <w:lvl w:ilvl="7">
      <w:start w:val="1"/>
      <w:numFmt w:val="decimal"/>
      <w:lvlText w:val="%1.%2.%3.%4.%5.%6.%7.%8."/>
      <w:lvlJc w:val="left"/>
      <w:pPr>
        <w:ind w:left="3135" w:hanging="1800"/>
      </w:pPr>
    </w:lvl>
    <w:lvl w:ilvl="8">
      <w:start w:val="1"/>
      <w:numFmt w:val="decimal"/>
      <w:lvlText w:val="%1.%2.%3.%4.%5.%6.%7.%8.%9."/>
      <w:lvlJc w:val="left"/>
      <w:pPr>
        <w:ind w:left="3600" w:hanging="2160"/>
      </w:pPr>
    </w:lvl>
  </w:abstractNum>
  <w:abstractNum w:abstractNumId="3">
    <w:lvl w:ilvl="0">
      <w:start w:val="3"/>
      <w:numFmt w:val="decimal"/>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4">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81d76"/>
    <w:pPr>
      <w:widowControl/>
      <w:bidi w:val="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4">
    <w:name w:val="Heading 4"/>
    <w:basedOn w:val="Normal"/>
    <w:link w:val="40"/>
    <w:qFormat/>
    <w:rsid w:val="00dd6f3c"/>
    <w:pPr>
      <w:keepNext w:val="true"/>
      <w:widowControl w:val="false"/>
      <w:numPr>
        <w:ilvl w:val="3"/>
        <w:numId w:val="1"/>
      </w:numPr>
      <w:suppressAutoHyphens w:val="true"/>
      <w:outlineLvl w:val="3"/>
    </w:pPr>
    <w:rPr>
      <w:rFonts w:ascii="Liberation Serif" w:hAnsi="Liberation Serif" w:eastAsia="SimSun" w:cs="Arial"/>
      <w:kern w:val="2"/>
      <w:sz w:val="28"/>
      <w:szCs w:val="24"/>
      <w:lang w:eastAsia="zh-CN" w:bidi="hi-IN"/>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5f2119"/>
    <w:rPr>
      <w:rFonts w:ascii="Tahoma" w:hAnsi="Tahoma" w:cs="Tahoma"/>
      <w:sz w:val="16"/>
      <w:szCs w:val="16"/>
    </w:rPr>
  </w:style>
  <w:style w:type="character" w:styleId="1" w:customStyle="1">
    <w:name w:val="Основной шрифт абзаца1"/>
    <w:qFormat/>
    <w:rsid w:val="0066593d"/>
    <w:rPr/>
  </w:style>
  <w:style w:type="character" w:styleId="41" w:customStyle="1">
    <w:name w:val="Заголовок 4 Знак"/>
    <w:basedOn w:val="DefaultParagraphFont"/>
    <w:link w:val="4"/>
    <w:qFormat/>
    <w:rsid w:val="00dd6f3c"/>
    <w:rPr>
      <w:rFonts w:ascii="Liberation Serif" w:hAnsi="Liberation Serif" w:eastAsia="SimSun" w:cs="Arial"/>
      <w:kern w:val="2"/>
      <w:sz w:val="28"/>
      <w:szCs w:val="24"/>
      <w:lang w:eastAsia="zh-CN" w:bidi="hi-IN"/>
    </w:rPr>
  </w:style>
  <w:style w:type="character" w:styleId="Strong">
    <w:name w:val="Strong"/>
    <w:basedOn w:val="DefaultParagraphFont"/>
    <w:uiPriority w:val="22"/>
    <w:qFormat/>
    <w:rsid w:val="009e4b33"/>
    <w:rPr>
      <w:b/>
      <w:bCs/>
    </w:rPr>
  </w:style>
  <w:style w:type="character" w:styleId="Style14" w:customStyle="1">
    <w:name w:val="Основной текст Знак"/>
    <w:basedOn w:val="DefaultParagraphFont"/>
    <w:semiHidden/>
    <w:qFormat/>
    <w:rsid w:val="002a3196"/>
    <w:rPr>
      <w:rFonts w:ascii="Calibri" w:hAnsi="Calibri" w:eastAsia="Times New Roman" w:cs="Times New Roman"/>
      <w:lang w:eastAsia="ru-RU"/>
    </w:rPr>
  </w:style>
  <w:style w:type="character" w:styleId="11" w:customStyle="1">
    <w:name w:val="Основной текст Знак1"/>
    <w:basedOn w:val="DefaultParagraphFont"/>
    <w:semiHidden/>
    <w:qFormat/>
    <w:locked/>
    <w:rsid w:val="002a3196"/>
    <w:rPr>
      <w:rFonts w:ascii="Times New Roman" w:hAnsi="Times New Roman" w:eastAsia="Times New Roman" w:cs="Times New Roman"/>
      <w:sz w:val="26"/>
      <w:szCs w:val="26"/>
      <w:shd w:fill="FFFFFF" w:val="clear"/>
      <w:lang w:eastAsia="zh-CN"/>
    </w:rPr>
  </w:style>
  <w:style w:type="character" w:styleId="Style15" w:customStyle="1">
    <w:name w:val="Интернет-ссылка"/>
    <w:rPr>
      <w:color w:val="000080"/>
      <w:u w:val="single"/>
    </w:rPr>
  </w:style>
  <w:style w:type="character" w:styleId="Style16" w:customStyle="1">
    <w:name w:val="Верхний колонтитул Знак"/>
    <w:basedOn w:val="DefaultParagraphFont"/>
    <w:link w:val="af0"/>
    <w:uiPriority w:val="99"/>
    <w:qFormat/>
    <w:rsid w:val="005d7817"/>
    <w:rPr>
      <w:rFonts w:eastAsia="Times New Roman" w:cs="Times New Roman"/>
      <w:lang w:eastAsia="ru-RU"/>
    </w:rPr>
  </w:style>
  <w:style w:type="character" w:styleId="Style17" w:customStyle="1">
    <w:name w:val="Нижний колонтитул Знак"/>
    <w:basedOn w:val="DefaultParagraphFont"/>
    <w:link w:val="af2"/>
    <w:uiPriority w:val="99"/>
    <w:qFormat/>
    <w:rsid w:val="005d7817"/>
    <w:rPr>
      <w:rFonts w:eastAsia="Times New Roman" w:cs="Times New Roman"/>
      <w:lang w:eastAsia="ru-RU"/>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semiHidden/>
    <w:unhideWhenUsed/>
    <w:rsid w:val="002a3196"/>
    <w:pPr>
      <w:widowControl w:val="false"/>
      <w:shd w:val="clear" w:color="auto" w:fill="FFFFFF"/>
      <w:suppressAutoHyphens w:val="true"/>
      <w:spacing w:lineRule="exact" w:line="317" w:before="0" w:after="180"/>
      <w:ind w:hanging="360"/>
      <w:jc w:val="center"/>
    </w:pPr>
    <w:rPr>
      <w:rFonts w:ascii="Times New Roman" w:hAnsi="Times New Roman"/>
      <w:sz w:val="26"/>
      <w:szCs w:val="26"/>
      <w:lang w:eastAsia="zh-CN"/>
    </w:rPr>
  </w:style>
  <w:style w:type="paragraph" w:styleId="Style20">
    <w:name w:val="List"/>
    <w:basedOn w:val="Style19"/>
    <w:pPr>
      <w:shd w:fill="FFFFFF" w:val="clear"/>
    </w:pPr>
    <w:rPr>
      <w:rFonts w:cs="Mang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onsPlusNormal" w:customStyle="1">
    <w:name w:val="ConsPlusNormal"/>
    <w:qFormat/>
    <w:rsid w:val="00ee14ce"/>
    <w:pPr>
      <w:widowControl w:val="false"/>
      <w:bidi w:val="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ee14ce"/>
    <w:pPr>
      <w:widowControl w:val="false"/>
      <w:bidi w:val="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ee14ce"/>
    <w:pPr>
      <w:widowControl w:val="false"/>
      <w:bidi w:val="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ee14ce"/>
    <w:pPr>
      <w:widowControl w:val="false"/>
      <w:bidi w:val="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ee14ce"/>
    <w:pPr>
      <w:widowControl w:val="false"/>
      <w:bidi w:val="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ee14ce"/>
    <w:pPr>
      <w:widowControl w:val="false"/>
      <w:bidi w:val="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ee14ce"/>
    <w:pPr>
      <w:widowControl w:val="false"/>
      <w:bidi w:val="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ee14ce"/>
    <w:pPr>
      <w:widowControl w:val="false"/>
      <w:bidi w:val="0"/>
      <w:jc w:val="left"/>
    </w:pPr>
    <w:rPr>
      <w:rFonts w:ascii="Arial" w:hAnsi="Arial" w:eastAsia="" w:cs="Arial" w:eastAsiaTheme="minorEastAsia"/>
      <w:color w:val="auto"/>
      <w:kern w:val="0"/>
      <w:sz w:val="20"/>
      <w:szCs w:val="22"/>
      <w:lang w:eastAsia="ru-RU" w:val="ru-RU" w:bidi="ar-SA"/>
    </w:rPr>
  </w:style>
  <w:style w:type="paragraph" w:styleId="BalloonText">
    <w:name w:val="Balloon Text"/>
    <w:basedOn w:val="Normal"/>
    <w:uiPriority w:val="99"/>
    <w:semiHidden/>
    <w:unhideWhenUsed/>
    <w:qFormat/>
    <w:rsid w:val="005f2119"/>
    <w:pPr/>
    <w:rPr>
      <w:rFonts w:ascii="Tahoma" w:hAnsi="Tahoma" w:eastAsia="Calibri" w:cs="Tahoma" w:eastAsiaTheme="minorHAnsi"/>
      <w:sz w:val="16"/>
      <w:szCs w:val="16"/>
      <w:lang w:eastAsia="en-US"/>
    </w:rPr>
  </w:style>
  <w:style w:type="paragraph" w:styleId="NoSpacing">
    <w:name w:val="No Spacing"/>
    <w:uiPriority w:val="1"/>
    <w:qFormat/>
    <w:rsid w:val="00ae67b1"/>
    <w:pPr>
      <w:widowControl/>
      <w:bidi w:val="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ListParagraph">
    <w:name w:val="List Paragraph"/>
    <w:basedOn w:val="Normal"/>
    <w:uiPriority w:val="34"/>
    <w:qFormat/>
    <w:rsid w:val="00e67c6a"/>
    <w:pPr>
      <w:spacing w:before="0" w:after="0"/>
      <w:ind w:left="720" w:hanging="0"/>
      <w:contextualSpacing/>
    </w:pPr>
    <w:rPr/>
  </w:style>
  <w:style w:type="paragraph" w:styleId="Standard" w:customStyle="1">
    <w:name w:val="Standard"/>
    <w:qFormat/>
    <w:rsid w:val="00dd6f3c"/>
    <w:pPr>
      <w:widowControl/>
      <w:suppressAutoHyphens w:val="true"/>
      <w:bidi w:val="0"/>
      <w:jc w:val="left"/>
      <w:textAlignment w:val="baseline"/>
    </w:pPr>
    <w:rPr>
      <w:rFonts w:ascii="Liberation Serif" w:hAnsi="Liberation Serif" w:eastAsia="SimSun" w:cs="Mangal"/>
      <w:color w:val="auto"/>
      <w:kern w:val="2"/>
      <w:sz w:val="24"/>
      <w:szCs w:val="24"/>
      <w:lang w:eastAsia="zh-CN" w:bidi="hi-IN" w:val="ru-RU"/>
    </w:rPr>
  </w:style>
  <w:style w:type="paragraph" w:styleId="NormalWeb">
    <w:name w:val="Normal (Web)"/>
    <w:basedOn w:val="Normal"/>
    <w:unhideWhenUsed/>
    <w:qFormat/>
    <w:rsid w:val="00425356"/>
    <w:pPr>
      <w:spacing w:beforeAutospacing="1" w:afterAutospacing="1"/>
    </w:pPr>
    <w:rPr>
      <w:rFonts w:ascii="Times New Roman" w:hAnsi="Times New Roman"/>
      <w:sz w:val="24"/>
      <w:szCs w:val="24"/>
    </w:rPr>
  </w:style>
  <w:style w:type="paragraph" w:styleId="Default" w:customStyle="1">
    <w:name w:val="Default"/>
    <w:qFormat/>
    <w:rsid w:val="00425356"/>
    <w:pPr>
      <w:widowControl/>
      <w:bidi w:val="0"/>
      <w:jc w:val="left"/>
    </w:pPr>
    <w:rPr>
      <w:rFonts w:ascii="Times New Roman" w:hAnsi="Times New Roman" w:eastAsia="Calibri" w:cs="Times New Roman"/>
      <w:color w:val="000000"/>
      <w:kern w:val="0"/>
      <w:sz w:val="24"/>
      <w:szCs w:val="24"/>
      <w:lang w:val="ru-RU" w:eastAsia="en-US" w:bidi="ar-SA"/>
    </w:rPr>
  </w:style>
  <w:style w:type="paragraph" w:styleId="Style23">
    <w:name w:val="Header"/>
    <w:basedOn w:val="Normal"/>
    <w:link w:val="af1"/>
    <w:uiPriority w:val="99"/>
    <w:unhideWhenUsed/>
    <w:rsid w:val="005d7817"/>
    <w:pPr>
      <w:tabs>
        <w:tab w:val="center" w:pos="4677" w:leader="none"/>
        <w:tab w:val="right" w:pos="9355" w:leader="none"/>
      </w:tabs>
    </w:pPr>
    <w:rPr/>
  </w:style>
  <w:style w:type="paragraph" w:styleId="Style24">
    <w:name w:val="Footer"/>
    <w:basedOn w:val="Normal"/>
    <w:link w:val="af3"/>
    <w:uiPriority w:val="99"/>
    <w:unhideWhenUsed/>
    <w:rsid w:val="005d7817"/>
    <w:pPr>
      <w:tabs>
        <w:tab w:val="center" w:pos="4677" w:leader="none"/>
        <w:tab w:val="right" w:pos="9355" w:leader="none"/>
      </w:tabs>
    </w:pPr>
    <w:rPr/>
  </w:style>
  <w:style w:type="paragraph" w:styleId="12" w:customStyle="1">
    <w:name w:val="Обычный1"/>
    <w:qFormat/>
    <w:rsid w:val="0066587e"/>
    <w:pPr>
      <w:widowControl/>
      <w:tabs>
        <w:tab w:val="left" w:pos="708" w:leader="none"/>
      </w:tabs>
      <w:suppressAutoHyphens w:val="true"/>
      <w:bidi w:val="0"/>
      <w:spacing w:lineRule="atLeast" w:line="100"/>
      <w:jc w:val="left"/>
      <w:textAlignment w:val="baseline"/>
    </w:pPr>
    <w:rPr>
      <w:rFonts w:ascii="Times New Roman" w:hAnsi="Times New Roman" w:eastAsia="SimSun" w:cs="Calibri"/>
      <w:color w:val="00000A"/>
      <w:kern w:val="2"/>
      <w:sz w:val="24"/>
      <w:szCs w:val="24"/>
      <w:lang w:eastAsia="zh-CN" w:bidi="hi-IN" w:val="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
    <w:name w:val="Table Grid"/>
    <w:basedOn w:val="a1"/>
    <w:uiPriority w:val="59"/>
    <w:rsid w:val="0042535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444&amp;n=161675&amp;dst=100015" TargetMode="External"/><Relationship Id="rId3" Type="http://schemas.openxmlformats.org/officeDocument/2006/relationships/hyperlink" Target="https://login.consultant.ru/link/?req=doc&amp;base=RLAW444&amp;n=161675"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9C78-44D3-4A2A-8639-1F2394949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Application>LibreOffice/5.4.3.2$Windows_x86 LibreOffice_project/92a7159f7e4af62137622921e809f8546db437e5</Application>
  <Pages>9</Pages>
  <Words>2019</Words>
  <Characters>15232</Characters>
  <CharactersWithSpaces>17267</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2025-01-15T12:06:00Z</dcterms:created>
  <dc:creator>user</dc:creator>
  <dc:description/>
  <dc:language>ru-RU</dc:language>
  <cp:lastModifiedBy/>
  <cp:lastPrinted>2025-01-28T08:06:00Z</cp:lastPrinted>
  <dcterms:modified xsi:type="dcterms:W3CDTF">2025-02-13T14:16:23Z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