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7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сквера по ул. Кировская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продолжительностью 5 дней        с  16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250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от 5 февраля 2026 года № 7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«Благоустройство сквера по ул. Кировская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».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от 5 февраля 2026 года № 7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сквера по ул. Кировская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sz w:val="22"/>
          <w:szCs w:val="22"/>
        </w:rPr>
        <w:t>подпись                                расшифровка подписи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Поддерживаете ли Вы инициативу выдвижения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«Благоустройство сквера по ул. Кировская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59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от 5 февраля 2026 года № 7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«Благоустройство сквера по ул. Кировская в г. Жердевка Жердевского    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                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Шапурина Любовь Ивановна—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Маслова Татьяна Серафимовна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LibreOffice/7.2.5.2$Windows_X86_64 LibreOffice_project/499f9727c189e6ef3471021d6132d4c694f357e5</Application>
  <AppVersion>15.0000</AppVersion>
  <Pages>4</Pages>
  <Words>726</Words>
  <Characters>5169</Characters>
  <CharactersWithSpaces>7364</CharactersWithSpaces>
  <Paragraphs>79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2026-02-05T10:21:38Z</cp:lastPrinted>
  <dcterms:modified xsi:type="dcterms:W3CDTF">2026-02-05T10:22:36Z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