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48" w:rsidRPr="0044768A" w:rsidRDefault="00853A48" w:rsidP="00853A48">
      <w:pPr>
        <w:jc w:val="center"/>
        <w:rPr>
          <w:b/>
          <w:bCs/>
          <w:sz w:val="28"/>
          <w:szCs w:val="28"/>
        </w:rPr>
      </w:pPr>
      <w:r w:rsidRPr="0044768A">
        <w:rPr>
          <w:b/>
          <w:bCs/>
          <w:sz w:val="28"/>
          <w:szCs w:val="28"/>
        </w:rPr>
        <w:t>Мичуринский</w:t>
      </w:r>
    </w:p>
    <w:p w:rsidR="00853A48" w:rsidRPr="0044768A" w:rsidRDefault="00853A48" w:rsidP="00853A48">
      <w:pPr>
        <w:jc w:val="center"/>
        <w:rPr>
          <w:b/>
          <w:bCs/>
          <w:sz w:val="28"/>
          <w:szCs w:val="28"/>
        </w:rPr>
      </w:pPr>
      <w:r w:rsidRPr="0044768A">
        <w:rPr>
          <w:b/>
          <w:bCs/>
          <w:sz w:val="28"/>
          <w:szCs w:val="28"/>
        </w:rPr>
        <w:t>районный Совет народных депутатов</w:t>
      </w:r>
    </w:p>
    <w:p w:rsidR="00853A48" w:rsidRPr="0044768A" w:rsidRDefault="00853A48" w:rsidP="00853A48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44768A">
        <w:rPr>
          <w:b/>
          <w:bCs/>
          <w:sz w:val="28"/>
          <w:szCs w:val="28"/>
        </w:rPr>
        <w:t>Тамбовской области</w:t>
      </w:r>
    </w:p>
    <w:p w:rsidR="00853A48" w:rsidRPr="005004B0" w:rsidRDefault="00853A48" w:rsidP="00853A48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5004B0">
        <w:rPr>
          <w:b/>
          <w:bCs/>
          <w:sz w:val="28"/>
          <w:szCs w:val="28"/>
        </w:rPr>
        <w:t xml:space="preserve">(пятый созыв – </w:t>
      </w:r>
      <w:r>
        <w:rPr>
          <w:b/>
          <w:bCs/>
          <w:sz w:val="28"/>
          <w:szCs w:val="28"/>
        </w:rPr>
        <w:t xml:space="preserve">тридцать первое </w:t>
      </w:r>
      <w:r w:rsidRPr="005004B0">
        <w:rPr>
          <w:b/>
          <w:bCs/>
          <w:sz w:val="28"/>
          <w:szCs w:val="28"/>
        </w:rPr>
        <w:t>заседание)</w:t>
      </w:r>
    </w:p>
    <w:p w:rsidR="00853A48" w:rsidRPr="0044768A" w:rsidRDefault="00853A48" w:rsidP="00853A48">
      <w:pPr>
        <w:tabs>
          <w:tab w:val="left" w:pos="720"/>
        </w:tabs>
        <w:rPr>
          <w:sz w:val="28"/>
          <w:szCs w:val="28"/>
        </w:rPr>
      </w:pPr>
    </w:p>
    <w:p w:rsidR="00853A48" w:rsidRPr="0044768A" w:rsidRDefault="00853A48" w:rsidP="00853A48">
      <w:pPr>
        <w:keepNext/>
        <w:tabs>
          <w:tab w:val="left" w:pos="720"/>
        </w:tabs>
        <w:jc w:val="center"/>
        <w:outlineLvl w:val="0"/>
        <w:rPr>
          <w:sz w:val="28"/>
          <w:szCs w:val="28"/>
        </w:rPr>
      </w:pPr>
      <w:proofErr w:type="gramStart"/>
      <w:r w:rsidRPr="0044768A">
        <w:rPr>
          <w:sz w:val="28"/>
          <w:szCs w:val="28"/>
        </w:rPr>
        <w:t>Р</w:t>
      </w:r>
      <w:proofErr w:type="gramEnd"/>
      <w:r w:rsidRPr="0044768A">
        <w:rPr>
          <w:sz w:val="28"/>
          <w:szCs w:val="28"/>
        </w:rPr>
        <w:t xml:space="preserve"> Е Ш Е Н И Е</w:t>
      </w:r>
    </w:p>
    <w:p w:rsidR="00853A48" w:rsidRPr="0044768A" w:rsidRDefault="00853A48" w:rsidP="00853A48">
      <w:pPr>
        <w:tabs>
          <w:tab w:val="left" w:pos="720"/>
        </w:tabs>
        <w:rPr>
          <w:sz w:val="28"/>
          <w:szCs w:val="28"/>
        </w:rPr>
      </w:pPr>
    </w:p>
    <w:p w:rsidR="00853A48" w:rsidRDefault="00853A48" w:rsidP="00853A48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24 апреля 2015                       г. Мичуринск                           № 180                                        </w:t>
      </w:r>
    </w:p>
    <w:p w:rsidR="00853A48" w:rsidRPr="0044768A" w:rsidRDefault="00853A48" w:rsidP="00853A48">
      <w:pPr>
        <w:tabs>
          <w:tab w:val="left" w:pos="720"/>
        </w:tabs>
        <w:jc w:val="center"/>
        <w:rPr>
          <w:sz w:val="28"/>
          <w:szCs w:val="28"/>
        </w:rPr>
      </w:pPr>
    </w:p>
    <w:p w:rsidR="00853A48" w:rsidRPr="0044768A" w:rsidRDefault="00853A48" w:rsidP="00853A48">
      <w:pPr>
        <w:tabs>
          <w:tab w:val="left" w:pos="720"/>
        </w:tabs>
        <w:jc w:val="both"/>
        <w:rPr>
          <w:sz w:val="28"/>
          <w:szCs w:val="28"/>
        </w:rPr>
      </w:pPr>
      <w:r w:rsidRPr="0044768A">
        <w:rPr>
          <w:sz w:val="28"/>
          <w:szCs w:val="28"/>
        </w:rPr>
        <w:t xml:space="preserve">О </w:t>
      </w:r>
      <w:r>
        <w:rPr>
          <w:sz w:val="28"/>
          <w:szCs w:val="28"/>
        </w:rPr>
        <w:t>благодарственном письме Мичуринского районного Совета народных депутатов</w:t>
      </w:r>
    </w:p>
    <w:p w:rsidR="00853A48" w:rsidRPr="00644FBD" w:rsidRDefault="00853A48" w:rsidP="00853A48">
      <w:pPr>
        <w:jc w:val="both"/>
        <w:rPr>
          <w:sz w:val="28"/>
          <w:szCs w:val="28"/>
        </w:rPr>
      </w:pPr>
    </w:p>
    <w:p w:rsidR="00853A48" w:rsidRPr="00644FBD" w:rsidRDefault="00853A48" w:rsidP="00853A48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644FB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внесенный временно исполняющим полномочия главы Мичуринского района </w:t>
      </w:r>
      <w:r w:rsidRPr="00644FBD">
        <w:rPr>
          <w:sz w:val="28"/>
          <w:szCs w:val="28"/>
        </w:rPr>
        <w:t>проект решения Мичуринского районного Совета народных депутатов «О</w:t>
      </w:r>
      <w:r>
        <w:rPr>
          <w:sz w:val="28"/>
          <w:szCs w:val="28"/>
        </w:rPr>
        <w:t xml:space="preserve"> благодарственном письме Мичуринского районного Совета народных депутатов</w:t>
      </w:r>
      <w:r w:rsidRPr="00644FB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учитывая </w:t>
      </w:r>
      <w:r w:rsidRPr="00644FBD">
        <w:rPr>
          <w:sz w:val="28"/>
          <w:szCs w:val="28"/>
        </w:rPr>
        <w:t>заключение постоянной мандатной комиссии по вопросам депутатской этики, местного самоуправления и организации контроля,</w:t>
      </w:r>
      <w:proofErr w:type="gramEnd"/>
    </w:p>
    <w:p w:rsidR="00853A48" w:rsidRPr="00644FBD" w:rsidRDefault="00853A48" w:rsidP="00853A48">
      <w:pPr>
        <w:tabs>
          <w:tab w:val="left" w:pos="720"/>
        </w:tabs>
        <w:ind w:left="360" w:firstLine="360"/>
        <w:rPr>
          <w:sz w:val="28"/>
          <w:szCs w:val="28"/>
        </w:rPr>
      </w:pPr>
      <w:r w:rsidRPr="00644FBD">
        <w:rPr>
          <w:sz w:val="28"/>
          <w:szCs w:val="28"/>
        </w:rPr>
        <w:t xml:space="preserve">Мичуринский районный Совет народных депутатов </w:t>
      </w:r>
      <w:r w:rsidRPr="00626740">
        <w:rPr>
          <w:b/>
          <w:bCs/>
          <w:sz w:val="28"/>
          <w:szCs w:val="28"/>
        </w:rPr>
        <w:t>решил</w:t>
      </w:r>
      <w:r w:rsidRPr="00626740">
        <w:rPr>
          <w:sz w:val="28"/>
          <w:szCs w:val="28"/>
        </w:rPr>
        <w:t>:</w:t>
      </w:r>
    </w:p>
    <w:p w:rsidR="00853A48" w:rsidRPr="00E614C9" w:rsidRDefault="00853A48" w:rsidP="00853A48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614C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614C9">
        <w:rPr>
          <w:sz w:val="28"/>
          <w:szCs w:val="28"/>
        </w:rPr>
        <w:t>Учредить Благодарственное письмо Мичуринского районного Совета народных депутатов.</w:t>
      </w:r>
    </w:p>
    <w:p w:rsidR="00853A48" w:rsidRDefault="00853A48" w:rsidP="00853A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</w:t>
      </w:r>
      <w:r w:rsidRPr="0044768A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благодарственном письме Мичуринского районного Совета народных депутатов</w:t>
      </w:r>
      <w:r w:rsidRPr="00E614C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853A48" w:rsidRPr="00644FBD" w:rsidRDefault="00853A48" w:rsidP="00853A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B3559">
        <w:rPr>
          <w:sz w:val="28"/>
          <w:szCs w:val="28"/>
        </w:rPr>
        <w:t xml:space="preserve"> </w:t>
      </w:r>
      <w:r w:rsidRPr="00644FB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Pr="00644FB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644FBD">
        <w:rPr>
          <w:sz w:val="28"/>
          <w:szCs w:val="28"/>
        </w:rPr>
        <w:t xml:space="preserve"> </w:t>
      </w:r>
      <w:r w:rsidRPr="00E614C9">
        <w:rPr>
          <w:sz w:val="28"/>
          <w:szCs w:val="28"/>
        </w:rPr>
        <w:t>в сетевом издании «ТОП68 Тамбовский областной портал», расположенном в сети Интернет на доменном имени www.top68.ru</w:t>
      </w:r>
      <w:r w:rsidRPr="00644FBD">
        <w:rPr>
          <w:sz w:val="28"/>
          <w:szCs w:val="28"/>
        </w:rPr>
        <w:t>.</w:t>
      </w:r>
    </w:p>
    <w:p w:rsidR="00853A48" w:rsidRDefault="00853A48" w:rsidP="00853A48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853A48" w:rsidRPr="007E7A78" w:rsidRDefault="00853A48" w:rsidP="00853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A78">
        <w:rPr>
          <w:sz w:val="28"/>
          <w:szCs w:val="28"/>
        </w:rPr>
        <w:t xml:space="preserve">. </w:t>
      </w:r>
      <w:proofErr w:type="gramStart"/>
      <w:r w:rsidRPr="007E7A78">
        <w:rPr>
          <w:sz w:val="28"/>
          <w:szCs w:val="28"/>
        </w:rPr>
        <w:t>Контроль за</w:t>
      </w:r>
      <w:proofErr w:type="gramEnd"/>
      <w:r w:rsidRPr="007E7A78">
        <w:rPr>
          <w:sz w:val="28"/>
          <w:szCs w:val="28"/>
        </w:rPr>
        <w:t xml:space="preserve"> исполнением настоящего решения возложить на постоянную мандатную комиссию по вопросам депутатской этики, местного самоуправления и организации контроля Мичуринского районного Совета народных депутатов (председатель комиссии  С.С. Трушин).</w:t>
      </w:r>
    </w:p>
    <w:p w:rsidR="00853A48" w:rsidRDefault="00853A48" w:rsidP="00853A48">
      <w:pPr>
        <w:ind w:firstLine="709"/>
        <w:jc w:val="both"/>
        <w:rPr>
          <w:sz w:val="28"/>
          <w:szCs w:val="28"/>
        </w:rPr>
      </w:pPr>
    </w:p>
    <w:p w:rsidR="00853A48" w:rsidRPr="007E7A78" w:rsidRDefault="00853A48" w:rsidP="00853A48">
      <w:pPr>
        <w:ind w:firstLine="709"/>
        <w:jc w:val="both"/>
        <w:rPr>
          <w:sz w:val="28"/>
          <w:szCs w:val="28"/>
        </w:rPr>
      </w:pPr>
    </w:p>
    <w:p w:rsidR="00853A48" w:rsidRDefault="00853A48" w:rsidP="00853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53A48" w:rsidRDefault="00853A48" w:rsidP="00853A4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E7A7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E7A78">
        <w:rPr>
          <w:sz w:val="28"/>
          <w:szCs w:val="28"/>
        </w:rPr>
        <w:t xml:space="preserve"> Мичуринского района                                      </w:t>
      </w:r>
      <w:r>
        <w:rPr>
          <w:sz w:val="28"/>
          <w:szCs w:val="28"/>
        </w:rPr>
        <w:t xml:space="preserve">                   </w:t>
      </w:r>
      <w:r w:rsidRPr="007E7A78">
        <w:rPr>
          <w:sz w:val="28"/>
          <w:szCs w:val="28"/>
        </w:rPr>
        <w:t xml:space="preserve">  А.К.</w:t>
      </w:r>
      <w:r>
        <w:rPr>
          <w:sz w:val="28"/>
          <w:szCs w:val="28"/>
        </w:rPr>
        <w:t xml:space="preserve"> </w:t>
      </w:r>
      <w:r w:rsidRPr="007E7A78">
        <w:rPr>
          <w:sz w:val="28"/>
          <w:szCs w:val="28"/>
        </w:rPr>
        <w:t>Сухов</w:t>
      </w:r>
    </w:p>
    <w:p w:rsidR="00853A48" w:rsidRDefault="00853A48" w:rsidP="00853A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53A48" w:rsidRDefault="00853A48" w:rsidP="00853A48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Мичуринского</w:t>
      </w:r>
      <w:proofErr w:type="gramEnd"/>
      <w:r>
        <w:rPr>
          <w:sz w:val="28"/>
          <w:szCs w:val="28"/>
        </w:rPr>
        <w:t xml:space="preserve"> районного </w:t>
      </w:r>
    </w:p>
    <w:p w:rsidR="00853A48" w:rsidRDefault="00853A48" w:rsidP="00853A48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24 апреля 2015 № 180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3A48" w:rsidRPr="00B8746E" w:rsidRDefault="00853A48" w:rsidP="00853A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746E">
        <w:rPr>
          <w:b/>
          <w:bCs/>
          <w:sz w:val="28"/>
          <w:szCs w:val="28"/>
        </w:rPr>
        <w:t>Положение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746E">
        <w:rPr>
          <w:b/>
          <w:bCs/>
          <w:sz w:val="28"/>
          <w:szCs w:val="28"/>
        </w:rPr>
        <w:t>о благодарственном письме Мичуринского районного Совета народных депутатов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 xml:space="preserve">1. Благодарственное письмо </w:t>
      </w:r>
      <w:r w:rsidRPr="00E614C9">
        <w:rPr>
          <w:sz w:val="28"/>
          <w:szCs w:val="28"/>
        </w:rPr>
        <w:t>Мичуринского районного Совета народных депутатов</w:t>
      </w:r>
      <w:r w:rsidRPr="00B8746E">
        <w:rPr>
          <w:sz w:val="28"/>
          <w:szCs w:val="28"/>
        </w:rPr>
        <w:t xml:space="preserve"> (далее - Благодарственное письмо) является одной из форм поощрения физических и юридических лиц.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>2. Основаниями для поощрения Благодарственным письмом являются: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 xml:space="preserve">- плодотворное и эффективное сотрудничество с </w:t>
      </w:r>
      <w:r w:rsidRPr="00E614C9">
        <w:rPr>
          <w:sz w:val="28"/>
          <w:szCs w:val="28"/>
        </w:rPr>
        <w:t>Мичуринск</w:t>
      </w:r>
      <w:r>
        <w:rPr>
          <w:sz w:val="28"/>
          <w:szCs w:val="28"/>
        </w:rPr>
        <w:t>им</w:t>
      </w:r>
      <w:r w:rsidRPr="00E614C9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ым</w:t>
      </w:r>
      <w:r w:rsidRPr="00E614C9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Pr="00E614C9">
        <w:rPr>
          <w:sz w:val="28"/>
          <w:szCs w:val="28"/>
        </w:rPr>
        <w:t xml:space="preserve"> народных депутатов</w:t>
      </w:r>
      <w:r w:rsidRPr="00B8746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874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 Совет</w:t>
      </w:r>
      <w:r w:rsidRPr="00B8746E">
        <w:rPr>
          <w:sz w:val="28"/>
          <w:szCs w:val="28"/>
        </w:rPr>
        <w:t>), активное участие в нормотворческой деятельности;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>- значительные трудовые, производственные достижения, многолетний добросовестный труд;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 xml:space="preserve">- особый вклад в экономическое, социальное, культурное развитие </w:t>
      </w:r>
      <w:r>
        <w:rPr>
          <w:sz w:val="28"/>
          <w:szCs w:val="28"/>
        </w:rPr>
        <w:t>Мичуринского района</w:t>
      </w:r>
      <w:r w:rsidRPr="00B8746E">
        <w:rPr>
          <w:sz w:val="28"/>
          <w:szCs w:val="28"/>
        </w:rPr>
        <w:t>, заслуги в развитии местного самоуправления, обеспечении и защите прав и свобод граждан, укреплении законности и правопорядка;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 xml:space="preserve">- активное участие в общественной жизни </w:t>
      </w:r>
      <w:r>
        <w:rPr>
          <w:sz w:val="28"/>
          <w:szCs w:val="28"/>
        </w:rPr>
        <w:t>Мичуринского района</w:t>
      </w:r>
      <w:r w:rsidRPr="00B8746E">
        <w:rPr>
          <w:sz w:val="28"/>
          <w:szCs w:val="28"/>
        </w:rPr>
        <w:t>.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 xml:space="preserve">3. Для поощрения Благодарственным письмом не </w:t>
      </w:r>
      <w:proofErr w:type="gramStart"/>
      <w:r w:rsidRPr="00B8746E">
        <w:rPr>
          <w:sz w:val="28"/>
          <w:szCs w:val="28"/>
        </w:rPr>
        <w:t>позднее</w:t>
      </w:r>
      <w:proofErr w:type="gramEnd"/>
      <w:r w:rsidRPr="00B8746E">
        <w:rPr>
          <w:sz w:val="28"/>
          <w:szCs w:val="28"/>
        </w:rPr>
        <w:t xml:space="preserve"> чем за 10 дней до его вручения в </w:t>
      </w:r>
      <w:r>
        <w:rPr>
          <w:sz w:val="28"/>
          <w:szCs w:val="28"/>
        </w:rPr>
        <w:t>районный Совет</w:t>
      </w:r>
      <w:r w:rsidRPr="00B8746E">
        <w:rPr>
          <w:sz w:val="28"/>
          <w:szCs w:val="28"/>
        </w:rPr>
        <w:t xml:space="preserve"> направляется письмо-ходатайство депутата </w:t>
      </w:r>
      <w:r>
        <w:rPr>
          <w:sz w:val="28"/>
          <w:szCs w:val="28"/>
        </w:rPr>
        <w:t>районного Совета</w:t>
      </w:r>
      <w:r w:rsidRPr="00B8746E">
        <w:rPr>
          <w:sz w:val="28"/>
          <w:szCs w:val="28"/>
        </w:rPr>
        <w:t>, органа местного самоуправления, предприятия, организации, учреждения, общественного объединения, подписанное руководителем с краткой характеристикой производственных или иных достижений коллектива или лица, представляемого к поощрению.</w:t>
      </w:r>
    </w:p>
    <w:p w:rsidR="00853A48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 xml:space="preserve">4. Председатель </w:t>
      </w:r>
      <w:r>
        <w:rPr>
          <w:sz w:val="28"/>
          <w:szCs w:val="28"/>
        </w:rPr>
        <w:t>постоянной мандатной комиссии по</w:t>
      </w:r>
      <w:r w:rsidRPr="00B8746E">
        <w:rPr>
          <w:sz w:val="28"/>
          <w:szCs w:val="28"/>
        </w:rPr>
        <w:t xml:space="preserve"> вопросам депутатской этики</w:t>
      </w:r>
      <w:r>
        <w:rPr>
          <w:sz w:val="28"/>
          <w:szCs w:val="28"/>
        </w:rPr>
        <w:t>, местного самоуправления и организации контроля</w:t>
      </w:r>
      <w:r w:rsidRPr="00B8746E">
        <w:rPr>
          <w:sz w:val="28"/>
          <w:szCs w:val="28"/>
        </w:rPr>
        <w:t xml:space="preserve"> в течение 10 дней рассматривает представленные документы на соответствие требованиям, указанным в </w:t>
      </w:r>
      <w:hyperlink w:anchor="Par31" w:history="1">
        <w:r w:rsidRPr="00B8746E">
          <w:rPr>
            <w:sz w:val="28"/>
            <w:szCs w:val="28"/>
          </w:rPr>
          <w:t>пункте 2</w:t>
        </w:r>
      </w:hyperlink>
      <w:r w:rsidRPr="00B8746E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и передает на рассмотрение постоянной мандатной комиссии по</w:t>
      </w:r>
      <w:r w:rsidRPr="00B8746E">
        <w:rPr>
          <w:sz w:val="28"/>
          <w:szCs w:val="28"/>
        </w:rPr>
        <w:t xml:space="preserve"> вопросам депутатской этики</w:t>
      </w:r>
      <w:r>
        <w:rPr>
          <w:sz w:val="28"/>
          <w:szCs w:val="28"/>
        </w:rPr>
        <w:t>, местного самоуправления и организации контроля</w:t>
      </w:r>
      <w:r w:rsidRPr="00B8746E">
        <w:rPr>
          <w:sz w:val="28"/>
          <w:szCs w:val="28"/>
        </w:rPr>
        <w:t>.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Постоянная мандатная комиссия по</w:t>
      </w:r>
      <w:r w:rsidRPr="00B8746E">
        <w:rPr>
          <w:sz w:val="28"/>
          <w:szCs w:val="28"/>
        </w:rPr>
        <w:t xml:space="preserve"> вопросам депутатской этики</w:t>
      </w:r>
      <w:r>
        <w:rPr>
          <w:sz w:val="28"/>
          <w:szCs w:val="28"/>
        </w:rPr>
        <w:t>, местного самоуправления и организации контроля по результатам рассмотрения на своем заседании принимает решение о поощрении Благодарственным письмом или об отказе в поощрении.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746E">
        <w:rPr>
          <w:sz w:val="28"/>
          <w:szCs w:val="28"/>
        </w:rPr>
        <w:t>. Отказ в поощрении Благодарственным письмом возможен в случаях: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 xml:space="preserve">- отсутствия оснований, указанных в </w:t>
      </w:r>
      <w:hyperlink w:anchor="Par31" w:history="1">
        <w:r w:rsidRPr="00B8746E">
          <w:rPr>
            <w:sz w:val="28"/>
            <w:szCs w:val="28"/>
          </w:rPr>
          <w:t>пункте 2</w:t>
        </w:r>
      </w:hyperlink>
      <w:r w:rsidRPr="00B8746E">
        <w:rPr>
          <w:sz w:val="28"/>
          <w:szCs w:val="28"/>
        </w:rPr>
        <w:t xml:space="preserve"> настоящего Положения;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 xml:space="preserve">- несоблюдения сроков, указанных в </w:t>
      </w:r>
      <w:hyperlink w:anchor="Par36" w:history="1">
        <w:r w:rsidRPr="00B8746E">
          <w:rPr>
            <w:sz w:val="28"/>
            <w:szCs w:val="28"/>
          </w:rPr>
          <w:t>пункте 3</w:t>
        </w:r>
      </w:hyperlink>
      <w:r w:rsidRPr="00B8746E">
        <w:rPr>
          <w:sz w:val="28"/>
          <w:szCs w:val="28"/>
        </w:rPr>
        <w:t xml:space="preserve"> настоящего Положения.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8746E">
        <w:rPr>
          <w:sz w:val="28"/>
          <w:szCs w:val="28"/>
        </w:rPr>
        <w:t xml:space="preserve">. Благодарственное письмо подписывается </w:t>
      </w:r>
      <w:r>
        <w:rPr>
          <w:sz w:val="28"/>
          <w:szCs w:val="28"/>
        </w:rPr>
        <w:t>председателем районного Совета</w:t>
      </w:r>
      <w:r w:rsidRPr="00B8746E">
        <w:rPr>
          <w:sz w:val="28"/>
          <w:szCs w:val="28"/>
        </w:rPr>
        <w:t>, а в его отсутствие - заместителе</w:t>
      </w:r>
      <w:r>
        <w:rPr>
          <w:sz w:val="28"/>
          <w:szCs w:val="28"/>
        </w:rPr>
        <w:t>м</w:t>
      </w:r>
      <w:r w:rsidRPr="00B8746E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районного Совета</w:t>
      </w:r>
      <w:r w:rsidRPr="00B8746E">
        <w:rPr>
          <w:sz w:val="28"/>
          <w:szCs w:val="28"/>
        </w:rPr>
        <w:t>.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8746E">
        <w:rPr>
          <w:sz w:val="28"/>
          <w:szCs w:val="28"/>
        </w:rPr>
        <w:t>. Изготовление бланков Благодарствен</w:t>
      </w:r>
      <w:r>
        <w:rPr>
          <w:sz w:val="28"/>
          <w:szCs w:val="28"/>
        </w:rPr>
        <w:t xml:space="preserve">ного письма, их учет и </w:t>
      </w:r>
      <w:r>
        <w:rPr>
          <w:sz w:val="28"/>
          <w:szCs w:val="28"/>
        </w:rPr>
        <w:lastRenderedPageBreak/>
        <w:t>хранение, п</w:t>
      </w:r>
      <w:r w:rsidRPr="00B8746E">
        <w:rPr>
          <w:sz w:val="28"/>
          <w:szCs w:val="28"/>
        </w:rPr>
        <w:t xml:space="preserve">рохождение документов и подготовку Благодарственного письма, а также учет поощренных физических и юридических лиц осуществляет </w:t>
      </w:r>
      <w:r>
        <w:rPr>
          <w:sz w:val="28"/>
          <w:szCs w:val="28"/>
        </w:rPr>
        <w:t>аппарат районного Совета</w:t>
      </w:r>
      <w:r w:rsidRPr="00B8746E">
        <w:rPr>
          <w:sz w:val="28"/>
          <w:szCs w:val="28"/>
        </w:rPr>
        <w:t>.</w:t>
      </w:r>
    </w:p>
    <w:p w:rsidR="00853A48" w:rsidRPr="00B8746E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8746E">
        <w:rPr>
          <w:sz w:val="28"/>
          <w:szCs w:val="28"/>
        </w:rPr>
        <w:t xml:space="preserve">. Вручение Благодарственного письма производится </w:t>
      </w:r>
      <w:r>
        <w:rPr>
          <w:sz w:val="28"/>
          <w:szCs w:val="28"/>
        </w:rPr>
        <w:t>председателем районного Совета</w:t>
      </w:r>
      <w:r w:rsidRPr="00B8746E">
        <w:rPr>
          <w:sz w:val="28"/>
          <w:szCs w:val="28"/>
        </w:rPr>
        <w:t>, заместител</w:t>
      </w:r>
      <w:r>
        <w:rPr>
          <w:sz w:val="28"/>
          <w:szCs w:val="28"/>
        </w:rPr>
        <w:t>ем</w:t>
      </w:r>
      <w:r w:rsidRPr="00B8746E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районного Совета</w:t>
      </w:r>
      <w:r w:rsidRPr="00B8746E">
        <w:rPr>
          <w:sz w:val="28"/>
          <w:szCs w:val="28"/>
        </w:rPr>
        <w:t xml:space="preserve">, депутатами </w:t>
      </w:r>
      <w:r>
        <w:rPr>
          <w:sz w:val="28"/>
          <w:szCs w:val="28"/>
        </w:rPr>
        <w:t>районного Совета</w:t>
      </w:r>
      <w:r w:rsidRPr="00B8746E">
        <w:rPr>
          <w:sz w:val="28"/>
          <w:szCs w:val="28"/>
        </w:rPr>
        <w:t xml:space="preserve"> или иными лицами по поручению </w:t>
      </w:r>
      <w:r>
        <w:rPr>
          <w:sz w:val="28"/>
          <w:szCs w:val="28"/>
        </w:rPr>
        <w:t>председателя районного Совета</w:t>
      </w:r>
      <w:r w:rsidRPr="00B8746E">
        <w:rPr>
          <w:sz w:val="28"/>
          <w:szCs w:val="28"/>
        </w:rPr>
        <w:t>.</w:t>
      </w:r>
    </w:p>
    <w:p w:rsidR="00853A48" w:rsidRDefault="00853A48" w:rsidP="00853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46E">
        <w:rPr>
          <w:sz w:val="28"/>
          <w:szCs w:val="28"/>
        </w:rPr>
        <w:t xml:space="preserve">10. Поощрение Благодарственным письмом может быть произведено повторно не ранее чем по истечении срока полномочий </w:t>
      </w:r>
      <w:r>
        <w:rPr>
          <w:sz w:val="28"/>
          <w:szCs w:val="28"/>
        </w:rPr>
        <w:t>районного Совета</w:t>
      </w:r>
      <w:r w:rsidRPr="00B8746E">
        <w:rPr>
          <w:sz w:val="28"/>
          <w:szCs w:val="28"/>
        </w:rPr>
        <w:t xml:space="preserve"> текущего созыва.</w:t>
      </w:r>
    </w:p>
    <w:p w:rsidR="00853A48" w:rsidRDefault="00853A48" w:rsidP="00853A48">
      <w:pPr>
        <w:rPr>
          <w:sz w:val="28"/>
          <w:szCs w:val="28"/>
        </w:rPr>
      </w:pPr>
    </w:p>
    <w:p w:rsidR="00853A48" w:rsidRDefault="00853A48" w:rsidP="00853A48"/>
    <w:p w:rsidR="00853A48" w:rsidRDefault="00853A48" w:rsidP="00853A48"/>
    <w:p w:rsidR="00853A48" w:rsidRDefault="00853A48" w:rsidP="00853A48"/>
    <w:p w:rsidR="00853A48" w:rsidRDefault="00853A48" w:rsidP="00853A48"/>
    <w:p w:rsidR="00853A48" w:rsidRDefault="00853A48" w:rsidP="00853A48"/>
    <w:p w:rsidR="00853A48" w:rsidRDefault="00853A48" w:rsidP="00853A48"/>
    <w:p w:rsidR="00853A48" w:rsidRDefault="00853A48" w:rsidP="00853A48"/>
    <w:p w:rsidR="00853A48" w:rsidRDefault="00853A48" w:rsidP="00853A48"/>
    <w:p w:rsidR="00DD5FF4" w:rsidRDefault="00DD5FF4"/>
    <w:sectPr w:rsidR="00DD5FF4" w:rsidSect="00DD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3A48"/>
    <w:rsid w:val="00853A48"/>
    <w:rsid w:val="00DD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2015-04-27T11:25:00Z</dcterms:created>
  <dcterms:modified xsi:type="dcterms:W3CDTF">2015-04-27T11:25:00Z</dcterms:modified>
</cp:coreProperties>
</file>