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79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469"/>
        <w:gridCol w:w="5326"/>
      </w:tblGrid>
      <w:tr>
        <w:trPr/>
        <w:tc>
          <w:tcPr>
            <w:tcW w:w="4469" w:type="dxa"/>
            <w:tcBorders/>
            <w:shd w:fill="auto" w:val="clear"/>
          </w:tcPr>
          <w:p>
            <w:pPr>
              <w:pStyle w:val="Normal"/>
              <w:pageBreakBefore/>
              <w:spacing w:lineRule="auto" w:line="276" w:before="0" w:after="200"/>
              <w:jc w:val="right"/>
              <w:rPr>
                <w:rFonts w:ascii="Times New Roman" w:hAnsi="Times New Roman" w:eastAsia="Times New Roman" w:cs="Times New Roman"/>
                <w:color w:val="00000A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8"/>
                <w:lang w:val="ru-RU"/>
              </w:rPr>
            </w:r>
          </w:p>
        </w:tc>
        <w:tc>
          <w:tcPr>
            <w:tcW w:w="5326" w:type="dxa"/>
            <w:tcBorders/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8"/>
                <w:lang w:val="ru-RU"/>
              </w:rPr>
              <w:t>ПРИЛОЖЕНИЕ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8"/>
                <w:lang w:val="ru-RU"/>
              </w:rPr>
              <w:t>УТВЕРЖДЕН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8"/>
                <w:lang w:val="ru-RU"/>
              </w:rPr>
              <w:t xml:space="preserve">постановлением администрации города 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8"/>
                <w:lang w:val="ru-RU"/>
              </w:rPr>
              <w:t>от 24.07.2025 № 1215</w:t>
            </w:r>
          </w:p>
        </w:tc>
      </w:tr>
    </w:tbl>
    <w:p>
      <w:pPr>
        <w:pStyle w:val="11"/>
        <w:rPr>
          <w:lang w:val="ru-RU"/>
        </w:rPr>
      </w:pPr>
      <w:r>
        <w:rPr>
          <w:lang w:val="ru-RU"/>
        </w:rPr>
      </w:r>
    </w:p>
    <w:p>
      <w:pPr>
        <w:pStyle w:val="11"/>
        <w:rPr>
          <w:lang w:val="ru-RU"/>
        </w:rPr>
      </w:pPr>
      <w:r>
        <w:rPr>
          <w:lang w:val="ru-RU"/>
        </w:rPr>
      </w:r>
    </w:p>
    <w:p>
      <w:pPr>
        <w:pStyle w:val="NormalWeb"/>
        <w:spacing w:beforeAutospacing="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Web"/>
        <w:spacing w:beforeAutospacing="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 ходе реализации муниципальной программы «Развитие образования города Рассказово» на 2014-2030 годы» за 1 полугодие 2025 года</w:t>
      </w:r>
    </w:p>
    <w:p>
      <w:pPr>
        <w:pStyle w:val="NormalWeb"/>
        <w:spacing w:beforeAutospacing="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08"/>
        <w:jc w:val="both"/>
        <w:rPr>
          <w:color w:val="00000A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 xml:space="preserve">Муниципальная программа «Развитие образования города Рассказово» на 2014-2030 годы» утверждена постановлением администрации города от 20.12.2013 </w:t>
      </w:r>
      <w:r>
        <w:rPr>
          <w:rFonts w:eastAsia="Segoe UI Symbol" w:cs="Times New Roman" w:ascii="Times New Roman" w:hAnsi="Times New Roman"/>
          <w:color w:val="00000A"/>
          <w:sz w:val="28"/>
          <w:lang w:val="ru-RU"/>
        </w:rPr>
        <w:t>№</w:t>
      </w: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 xml:space="preserve">2265 (в редакции постановления 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от 28.12.2024 №2735</w:t>
      </w: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 xml:space="preserve">) в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соответствии с постановлениями администрации города: от 04.10.2013 </w:t>
      </w:r>
      <w:r>
        <w:rPr>
          <w:rFonts w:eastAsia="Segoe UI Symbol" w:cs="Times New Roman" w:ascii="Times New Roman" w:hAnsi="Times New Roman"/>
          <w:color w:val="00000A"/>
          <w:sz w:val="28"/>
          <w:szCs w:val="28"/>
          <w:lang w:val="ru-RU"/>
        </w:rPr>
        <w:t>№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1756 «Об утверждении Порядка разработки, утверждения и реализации муниципальных программ города Рассказово».</w:t>
      </w:r>
    </w:p>
    <w:p>
      <w:pPr>
        <w:pStyle w:val="Normal"/>
        <w:suppressAutoHyphens w:val="false"/>
        <w:spacing w:lineRule="auto" w:line="240"/>
        <w:ind w:firstLine="708"/>
        <w:jc w:val="both"/>
        <w:textAlignment w:val="auto"/>
        <w:rPr>
          <w:rFonts w:ascii="Times New Roman" w:hAnsi="Times New Roman" w:eastAsia="Times New Roman" w:cs="Times New Roman"/>
          <w:color w:val="00000A"/>
          <w:sz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>Цели программы: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ind w:left="0" w:firstLine="360"/>
        <w:jc w:val="both"/>
        <w:textAlignment w:val="auto"/>
        <w:rPr>
          <w:rFonts w:ascii="Times New Roman" w:hAnsi="Times New Roman" w:eastAsia="Times New Roman" w:cs="Times New Roman"/>
          <w:color w:val="00000A"/>
          <w:kern w:val="0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Обеспечение максимальной доступности образовательных услуг, предоставляемых образовательными учреждениями города в соответствии с запросами населения и перспективными задачами развития общества и экономики.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ind w:left="0" w:firstLine="360"/>
        <w:jc w:val="both"/>
        <w:textAlignment w:val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  <w:lang w:val="ru-RU"/>
        </w:rPr>
        <w:t>Внедрение во всех образовательных организациях на уровнях начального, основного общего и среднего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ind w:left="0" w:firstLine="360"/>
        <w:jc w:val="both"/>
        <w:textAlignment w:val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  <w:lang w:val="ru-RU"/>
        </w:rPr>
        <w:t>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детьми.</w:t>
      </w:r>
    </w:p>
    <w:p>
      <w:pPr>
        <w:pStyle w:val="Standard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  <w:lang w:val="ru-RU"/>
        </w:rPr>
        <w:t>Формирование эффективной системы выявления, поддержки и развития способностей и талантов у детей, направленной на самоопределение и профессиональную ориентацию.</w:t>
      </w:r>
    </w:p>
    <w:p>
      <w:pPr>
        <w:pStyle w:val="Standard"/>
        <w:ind w:firstLine="708"/>
        <w:jc w:val="both"/>
        <w:rPr>
          <w:rFonts w:ascii="Times New Roman" w:hAnsi="Times New Roman" w:eastAsia="Times New Roman" w:cs="Times New Roman"/>
          <w:color w:val="00000A"/>
          <w:sz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 xml:space="preserve">Мероприятия программы включены в три подпрограммы. Две из них «Развитие дошкольного образования», «Развитие общего и дополнительного образования» соответствуют уровням образования и предусматривают мероприятия, направленные на расширение доступности, повышение качества и эффективности образовательных услуг в общем и дополнительном образовании. Третья подпрограмма «Обеспечение реализации муниципальной программы и прочие мероприятия в области образования» содержит мероприятия, обеспечивающие стабильное функционирование образовательных организаций. 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val="ru-RU"/>
        </w:rPr>
        <w:t>Реализация мероприятий подпрограммы «Развитие дошкольного образования».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В системе дошкольного образования города 10 организаций, из которых девять дошкольных образовательных организаций, одно общеобразовательное учреждение.</w:t>
      </w:r>
    </w:p>
    <w:p>
      <w:pPr>
        <w:pStyle w:val="Standard"/>
        <w:ind w:firstLine="708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 xml:space="preserve">На территории города зарегистрировано 2336 детей в возрасте от 0 до 7 лет, из них: от 0 – до 3 лет – 923 чел. и от 3 до 7 лет – 1413. </w:t>
      </w:r>
    </w:p>
    <w:p>
      <w:pPr>
        <w:pStyle w:val="Normal"/>
        <w:ind w:firstLine="540"/>
        <w:jc w:val="both"/>
        <w:rPr>
          <w:rFonts w:ascii="Times New Roman" w:hAnsi="Times New Roman" w:eastAsia="HiddenHorzOCR" w:cs="Times New Roman"/>
          <w:color w:val="00000A"/>
          <w:sz w:val="28"/>
          <w:szCs w:val="28"/>
          <w:lang w:val="ru-RU"/>
        </w:rPr>
      </w:pPr>
      <w:r>
        <w:rPr>
          <w:rFonts w:eastAsia="HiddenHorzOCR" w:cs="Times New Roman" w:ascii="Times New Roman" w:hAnsi="Times New Roman"/>
          <w:color w:val="00000A"/>
          <w:sz w:val="28"/>
          <w:szCs w:val="28"/>
          <w:lang w:val="ru-RU"/>
        </w:rPr>
        <w:t>В образовательных организациях функционирует 85 групп, где воспитывается 1655 чел. (85,2%) в возрасте от 1 года до 7 лет, из них: 1574 чел. посещают группы полного дня и 81 чел. – группы кратковременного пребывания.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Численность детей, охваченных услугами дошкольного образования составляет</w:t>
      </w:r>
      <w:r>
        <w:rPr>
          <w:rFonts w:eastAsia="HiddenHorzOCR" w:cs="Times New Roman" w:ascii="Times New Roman" w:hAnsi="Times New Roman"/>
          <w:color w:val="00000A"/>
          <w:sz w:val="28"/>
          <w:szCs w:val="28"/>
          <w:lang w:val="ru-RU"/>
        </w:rPr>
        <w:t>: от 0 до 3 лет – 290 чел. (17,5%) и от 3 до 7 лет – 1365 чел.(82,5%).</w:t>
      </w:r>
    </w:p>
    <w:p>
      <w:pPr>
        <w:pStyle w:val="Standard"/>
        <w:ind w:firstLine="708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На базе МБОУ СОШ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 №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3 и МБДОУ «Детский сад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 №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5 «Сказка» работают 3 группы предшкольной подготовки с общим охватом 46 человек.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8"/>
          <w:szCs w:val="28"/>
          <w:lang w:val="ru-RU" w:eastAsia="zh-CN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 w:eastAsia="zh-CN"/>
        </w:rPr>
        <w:tab/>
        <w:t xml:space="preserve">В дошкольных образовательных учреждениях созданы условия для получения дошкольного образования детьми с ограниченными возможностями здоровья  и детьми-инвалидами.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В отчетный период разными формами дошкольного образования охвачены 100 детей с ОВЗ и  16 детей - инвалидов.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В соответствии с постановлением от 16.12.2024 </w:t>
      </w:r>
      <w:r>
        <w:rPr>
          <w:rFonts w:eastAsia="Segoe UI Symbol" w:cs="Times New Roman" w:ascii="Times New Roman" w:hAnsi="Times New Roman"/>
          <w:color w:val="00000A"/>
          <w:sz w:val="28"/>
          <w:szCs w:val="28"/>
          <w:lang w:val="ru-RU"/>
        </w:rPr>
        <w:t xml:space="preserve">№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2563 «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О размере ежемесячной родительской платы, взимаемой с родителей (законных представителей) за присмотр и уход за детьми в муниципальных бюджетных  и автономных дошкольных образовательных организациях города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», установлен размер ежемесячной родительской платы за присмотр и уход в размере 2580 рублей. Для родителей (законных представителей), имеющих трёх или более несовершеннолетних детей, установлена 70% скидка по оплате услуг по присмотру и уходу в дошкольном учреждении.</w:t>
      </w:r>
    </w:p>
    <w:p>
      <w:pPr>
        <w:pStyle w:val="Standard"/>
        <w:ind w:firstLine="708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В соответствии с Законом Тамбовской области от 21.12.2017 года «О дополнительных мерах стимулирования педагогических работников» производятся выплаты молодым специалистам в размере 2600 руб.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В полном объеме производилась выплата заработной платы педагогическим работникам дошкольных образовательных учреждений. 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Среднемесячная заработная плата педагогических работников дошкольных образовательных учреждений за 1 полугодие 2025 года составила 39235 руб.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В рамках федерального проекта «Семья» осуществляется капитальный ремонт и оснащение муниципального бюджетного дошкольного образовательного учреждения «Детский сад №3 «Солнышко».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Объем финансирования мероприятий подпрограммы за счет средств областного и местного бюджета за 2025 год по плану 292847,9тыс. руб., кассовые расходы за 1 полугодие 2025 года составили 182852,3 тыс. руб.</w:t>
      </w:r>
    </w:p>
    <w:p>
      <w:pPr>
        <w:pStyle w:val="Standard"/>
        <w:ind w:firstLine="720"/>
        <w:jc w:val="both"/>
        <w:rPr>
          <w:rFonts w:ascii="Times New Roman" w:hAnsi="Times New Roman" w:eastAsia="Calibri" w:cs="Times New Roman"/>
          <w:color w:val="FF0000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FF0000"/>
          <w:sz w:val="28"/>
          <w:szCs w:val="28"/>
          <w:lang w:val="ru-RU"/>
        </w:rPr>
      </w:r>
    </w:p>
    <w:p>
      <w:pPr>
        <w:pStyle w:val="Standard"/>
        <w:ind w:firstLine="720"/>
        <w:jc w:val="both"/>
        <w:rPr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val="ru-RU"/>
        </w:rPr>
        <w:t>Реализация подпрограммы «Развитие общего и дополнительного образования».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 xml:space="preserve">В системе общего образования 3 общеобразовательные организации, имеющие 11 зданий (корпусов).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 xml:space="preserve">Система дополнительного образования города состоит из 15 образовательных организаций: 9 – дошкольных учреждений, 3  - общеобразовательных учреждения, 3 – учреждения дополнительного образования. 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На территории города зарегистрировано 5582 человек в возрасте от 5до 18лет, из них 4691 чел. (84,1%) обучаются по дополнительным общеобразовательным программам.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На базе учреждений дополнительного образования функционируют 235 объединений, в которых занимаются 2532 чел. (2024г.–256 объединения, 2138 чел.).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 xml:space="preserve">В общеобразовательных учреждениях функционирует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220 объединений, 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 xml:space="preserve">реализующих программы дополнительного образования, в которых занимается 3303 обучающихся (2024г. - 203объединения,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3034 чел.)</w:t>
      </w: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.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В дошкольных образовательных учреждениях работает 82 объединения, в которых обучается 862 чел.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В 2025 году было организовано проведение единого государственного экзамена для выпускников 11 классов. </w:t>
      </w:r>
    </w:p>
    <w:p>
      <w:pPr>
        <w:pStyle w:val="Standard"/>
        <w:ind w:firstLine="720"/>
        <w:jc w:val="both"/>
        <w:rPr>
          <w:color w:val="FF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В течение 1 полугодия 2025 года обеспечивалось проведение олимпиад, конкурсов, интеллектуальных и спортивных соревнований, в том числе и в дистанционном формате. Охват детей спортивными соревнованиями, творческими конкурсами, олимпиадами составил 63,9%.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Все обучающиеся, проживающие на ул. Меховая фабрика, обеспечены льготным проездом до места учебы.</w:t>
      </w:r>
    </w:p>
    <w:p>
      <w:pPr>
        <w:pStyle w:val="Standard"/>
        <w:ind w:firstLine="708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За счет средств областного бюджета в 1 полугодии 2025 года обеспечены бесплатным питанием «завтрак» 213детей льготных категорий, 316 детей из многодетных семей обеспечены бесплатным питанием. 100% обучающихся начальных классов (1769 человек) обеспечены бесплатным горячим питанием (завтрак). 100% обучающихся с ОВЗ обеспечены двухразовым питанием. 100% обучающихся 5-11 классов из семей участников СВО обеспечены бесплатным питанием.</w:t>
      </w:r>
    </w:p>
    <w:p>
      <w:pPr>
        <w:pStyle w:val="Standard"/>
        <w:ind w:firstLine="708"/>
        <w:jc w:val="both"/>
        <w:rPr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На базе муниципальных общеобразовательных организаций города с 28 мая по 27 июня функционировали 10 лагерей дневного пребывания. Охват детей составил 1900 человек. 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Осуществлялась поддержка молодых специалистов из числа педагогических работников школ за счет выплат стимулирующего характера.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Предоставляются ежемесячные выплаты 4 студентам, заключившим договор о целевом обучении по педагогическим специальностям.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В рамках проекта «Молодежь и дети» муниципальными общеобразовательными организациями (МБОУ СОШ №3, МБОУ СОШ №4) приобретается оборудование для оснащения учебных кабинетов по предмету «Основы безопасности и защиты Родины» и учебных кабинетов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 по предмету «Труд (технология)».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Своевременно осуществлялись ежемесячные выплаты классным руководителям, советникам директоров по воспитанию и взаимодействию с детскими общественными организациями.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>Среднемесячная заработная плата работников школ за 1 полугодие 2025 года составила 51341 руб., педагогических работников (включая учителей) – 53378 руб., учителей- 52431 руб.</w:t>
      </w:r>
    </w:p>
    <w:p>
      <w:pPr>
        <w:pStyle w:val="Standard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A"/>
          <w:sz w:val="28"/>
          <w:szCs w:val="28"/>
          <w:lang w:val="ru-RU"/>
        </w:rPr>
        <w:t xml:space="preserve">Размер среднемесячной заработной платы педагогических работников учреждений дополнительного образования в 1 полугодии 2025 года составил 50912 руб. </w:t>
      </w:r>
    </w:p>
    <w:p>
      <w:pPr>
        <w:pStyle w:val="Standard"/>
        <w:ind w:firstLine="72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Объем финансирования по подпрограмме «Развитие общего и дополнительного образования на 2025 год составляет 449858,7 тыс. руб., кассовые расходы за 1 полугодие 2025 года составили 254796,8 тыс. руб.</w:t>
      </w:r>
    </w:p>
    <w:p>
      <w:pPr>
        <w:pStyle w:val="Standard"/>
        <w:ind w:firstLine="720"/>
        <w:jc w:val="both"/>
        <w:rPr>
          <w:rFonts w:ascii="Times New Roman" w:hAnsi="Times New Roman" w:eastAsia="Calibri" w:cs="Times New Roman"/>
          <w:color w:val="FF0000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FF0000"/>
          <w:sz w:val="28"/>
          <w:szCs w:val="28"/>
          <w:lang w:val="ru-RU"/>
        </w:rPr>
      </w:r>
    </w:p>
    <w:p>
      <w:pPr>
        <w:pStyle w:val="Standard"/>
        <w:ind w:firstLine="720"/>
        <w:jc w:val="both"/>
        <w:rPr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val="ru-RU"/>
        </w:rPr>
        <w:t>Реализация подпрограммы «Обеспечение реализации муниципальной программы и прочие мероприятия в области образования»</w:t>
      </w:r>
    </w:p>
    <w:p>
      <w:pPr>
        <w:pStyle w:val="Standard"/>
        <w:jc w:val="both"/>
        <w:rPr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ab/>
        <w:t>В рамках выполнения мероприятий подпрограммы проводилась оплата труда работников МКУ «Комитет по управлению городским хозяйством», обслуживающих муниципальные образовательные учреждения.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ab/>
        <w:t>Обеспечено функционирование муниципального казенного учреждения «Информационно-методический центр» г.Рассказово Тамбовской области, оказывающего услуги (выполняющее работы) по информационно-методическому сопровождению сферы образования.</w:t>
      </w:r>
    </w:p>
    <w:p>
      <w:pPr>
        <w:pStyle w:val="Normal"/>
        <w:widowControl/>
        <w:suppressAutoHyphens w:val="false"/>
        <w:spacing w:lineRule="auto" w:line="240"/>
        <w:ind w:firstLine="708"/>
        <w:jc w:val="both"/>
        <w:textAlignment w:val="auto"/>
        <w:rPr>
          <w:rFonts w:ascii="Times New Roman" w:hAnsi="Times New Roman" w:eastAsia="Times New Roman" w:cs="Times New Roman"/>
          <w:bCs/>
          <w:color w:val="00000A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Объем финансирования по подпрограмме на 2025 год составляет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54249,7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тыс. руб.,  кассовые расходы за 1 полугодие составили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27971,3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тыс. руб.</w:t>
      </w:r>
    </w:p>
    <w:p>
      <w:pPr>
        <w:pStyle w:val="Normal"/>
        <w:shd w:val="clear" w:color="auto" w:fill="FFFFFF"/>
        <w:ind w:right="11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val="ru-RU"/>
        </w:rPr>
      </w:r>
    </w:p>
    <w:p>
      <w:pPr>
        <w:pStyle w:val="Normal"/>
        <w:widowControl/>
        <w:suppressAutoHyphens w:val="false"/>
        <w:spacing w:lineRule="auto" w:line="240"/>
        <w:jc w:val="both"/>
        <w:textAlignment w:val="auto"/>
        <w:rPr>
          <w:rFonts w:ascii="Times New Roman" w:hAnsi="Times New Roman" w:eastAsia="Times New Roman" w:cs="Times New Roman"/>
          <w:i/>
          <w:i/>
          <w:iCs/>
          <w:color w:val="FF0000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 w:ascii="Times New Roman" w:hAnsi="Times New Roman"/>
          <w:color w:val="FF0000"/>
          <w:sz w:val="28"/>
          <w:szCs w:val="28"/>
          <w:lang w:val="ru-RU"/>
        </w:rPr>
        <w:tab/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Общий объем финансирования муниципальной программы в 2025 году составляет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796956,3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тыс. руб., из них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112792,9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 тыс. руб. из федерального бюджета,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357868,4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тыс. руб. из областного бюджета,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 xml:space="preserve">326295,0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тыс. руб. из местного бюджета; кассовые расходы за 1 полугодие 2025 года составили </w:t>
      </w:r>
      <w:r>
        <w:rPr>
          <w:rFonts w:eastAsia="Times New Roman" w:cs="Times New Roman" w:ascii="Times New Roman" w:hAnsi="Times New Roman"/>
          <w:iCs/>
          <w:color w:val="00000A"/>
          <w:kern w:val="0"/>
          <w:sz w:val="28"/>
          <w:szCs w:val="28"/>
          <w:lang w:val="ru-RU" w:eastAsia="ru-RU" w:bidi="ar-SA"/>
        </w:rPr>
        <w:t>465620,4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тыс. руб. (58,4% от предусмотренного объема финансирования), из них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84592,4 тыс. руб. из федерального бюджета, 222960,9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 xml:space="preserve">тыс. руб. из областного бюджета и </w:t>
      </w:r>
      <w:r>
        <w:rPr>
          <w:rFonts w:eastAsia="Times New Roman" w:cs="Times New Roman" w:ascii="Times New Roman" w:hAnsi="Times New Roman"/>
          <w:bCs/>
          <w:color w:val="00000A"/>
          <w:kern w:val="0"/>
          <w:sz w:val="28"/>
          <w:szCs w:val="28"/>
          <w:lang w:val="ru-RU" w:eastAsia="ru-RU" w:bidi="ar-SA"/>
        </w:rPr>
        <w:t>158067,2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/>
        </w:rPr>
        <w:t>тыс. руб. из местного бюджета.</w:t>
      </w:r>
    </w:p>
    <w:p>
      <w:pPr>
        <w:pStyle w:val="Standard"/>
        <w:jc w:val="both"/>
        <w:rPr>
          <w:rFonts w:ascii="Times New Roman" w:hAnsi="Times New Roman" w:eastAsia="Calibri" w:cs="Times New Roman"/>
          <w:color w:val="FF0000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FF0000"/>
          <w:sz w:val="28"/>
          <w:szCs w:val="28"/>
          <w:lang w:val="ru-RU"/>
        </w:rPr>
        <w:tab/>
      </w:r>
    </w:p>
    <w:p>
      <w:pPr>
        <w:pStyle w:val="Standard"/>
        <w:ind w:firstLine="708"/>
        <w:jc w:val="both"/>
        <w:rPr>
          <w:color w:val="00000A"/>
          <w:lang w:val="ru-RU"/>
        </w:rPr>
      </w:pP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 xml:space="preserve">Сведения о степени выполнения мероприятий, объемах финансирования в разрезе подпрограмм приведены в приложениях </w:t>
      </w:r>
      <w:r>
        <w:rPr>
          <w:rFonts w:eastAsia="Segoe UI Symbol" w:cs="Times New Roman" w:ascii="Times New Roman" w:hAnsi="Times New Roman"/>
          <w:color w:val="00000A"/>
          <w:sz w:val="28"/>
          <w:lang w:val="ru-RU"/>
        </w:rPr>
        <w:t>№</w:t>
      </w:r>
      <w:r>
        <w:rPr>
          <w:rFonts w:eastAsia="Times New Roman" w:cs="Times New Roman" w:ascii="Times New Roman" w:hAnsi="Times New Roman"/>
          <w:color w:val="00000A"/>
          <w:sz w:val="28"/>
          <w:lang w:val="ru-RU"/>
        </w:rPr>
        <w:t>1,2 к Отчету.</w:t>
      </w:r>
    </w:p>
    <w:p>
      <w:pPr>
        <w:pStyle w:val="NormalWeb"/>
        <w:spacing w:beforeAutospacing="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Web"/>
        <w:spacing w:beforeAutospacing="0" w:before="0" w:after="0"/>
        <w:jc w:val="center"/>
        <w:rPr/>
      </w:pPr>
      <w:r>
        <w:rPr/>
      </w:r>
    </w:p>
    <w:sectPr>
      <w:headerReference w:type="default" r:id="rId2"/>
      <w:type w:val="nextPage"/>
      <w:pgSz w:w="11906" w:h="16838"/>
      <w:pgMar w:left="1758" w:right="567" w:header="720" w:top="1191" w:footer="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rFonts w:cs="Times New Roman" w:ascii="Times New Roman" w:hAnsi="Times New Roman"/>
        <w:lang w:val="ru-RU"/>
      </w:rPr>
      <w:t xml:space="preserve">                                                   </w:t>
    </w:r>
    <w:r>
      <w:rPr>
        <w:rFonts w:cs="Times New Roman" w:ascii="Times New Roman" w:hAnsi="Times New Roman"/>
        <w:lang w:val="ru-RU"/>
      </w:rPr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>
      <w:rPr>
        <w:rFonts w:cs="Times New Roman" w:ascii="Times New Roman" w:hAnsi="Times New Roman"/>
        <w:lang w:val="ru-RU"/>
      </w:rPr>
      <w:t xml:space="preserve">                                       </w:t>
    </w:r>
    <w:r>
      <w:rPr>
        <w:rFonts w:cs="Times New Roman" w:ascii="Times New Roman" w:hAnsi="Times New Roman"/>
        <w:lang w:val="ru-RU"/>
      </w:rPr>
      <w:t>Продолжение приложения</w:t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0"/>
      </w:pPr>
      <w:rPr>
        <w:sz w:val="28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0"/>
      </w:pPr>
    </w:lvl>
    <w:lvl w:ilvl="2">
      <w:start w:val="1"/>
      <w:numFmt w:val="lowerRoman"/>
      <w:lvlText w:val="%3."/>
      <w:lvlJc w:val="right"/>
      <w:pPr>
        <w:ind w:left="2160" w:hanging="0"/>
      </w:pPr>
    </w:lvl>
    <w:lvl w:ilvl="3">
      <w:start w:val="1"/>
      <w:numFmt w:val="decimal"/>
      <w:lvlText w:val="%4."/>
      <w:lvlJc w:val="left"/>
      <w:pPr>
        <w:ind w:left="2880" w:hanging="0"/>
      </w:pPr>
    </w:lvl>
    <w:lvl w:ilvl="4">
      <w:start w:val="1"/>
      <w:numFmt w:val="lowerLetter"/>
      <w:lvlText w:val="%5."/>
      <w:lvlJc w:val="left"/>
      <w:pPr>
        <w:ind w:left="3600" w:hanging="0"/>
      </w:pPr>
    </w:lvl>
    <w:lvl w:ilvl="5">
      <w:start w:val="1"/>
      <w:numFmt w:val="lowerRoman"/>
      <w:lvlText w:val="%6."/>
      <w:lvlJc w:val="right"/>
      <w:pPr>
        <w:ind w:left="4320" w:hanging="0"/>
      </w:pPr>
    </w:lvl>
    <w:lvl w:ilvl="6">
      <w:start w:val="1"/>
      <w:numFmt w:val="decimal"/>
      <w:lvlText w:val="%7."/>
      <w:lvlJc w:val="left"/>
      <w:pPr>
        <w:ind w:left="5040" w:hanging="0"/>
      </w:pPr>
    </w:lvl>
    <w:lvl w:ilvl="7">
      <w:start w:val="1"/>
      <w:numFmt w:val="lowerLetter"/>
      <w:lvlText w:val="%8."/>
      <w:lvlJc w:val="left"/>
      <w:pPr>
        <w:ind w:left="5760" w:hanging="0"/>
      </w:pPr>
    </w:lvl>
    <w:lvl w:ilvl="8">
      <w:start w:val="1"/>
      <w:numFmt w:val="lowerRoman"/>
      <w:lvlText w:val="%9."/>
      <w:lvlJc w:val="right"/>
      <w:pPr>
        <w:ind w:left="648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2"/>
  <w:embedSystemFonts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021f"/>
    <w:pPr>
      <w:widowControl w:val="false"/>
      <w:suppressAutoHyphens w:val="true"/>
      <w:bidi w:val="0"/>
      <w:spacing w:lineRule="atLeast" w:line="100"/>
      <w:jc w:val="left"/>
      <w:textAlignment w:val="baseline"/>
    </w:pPr>
    <w:rPr>
      <w:rFonts w:ascii="Calibri" w:hAnsi="Calibri" w:eastAsia="Arial Unicode MS" w:cs="Tahoma"/>
      <w:color w:val="000000"/>
      <w:kern w:val="2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sid w:val="00dc021f"/>
    <w:rPr/>
  </w:style>
  <w:style w:type="character" w:styleId="Style14" w:customStyle="1">
    <w:name w:val="Верхний колонтитул Знак"/>
    <w:link w:val="a5"/>
    <w:uiPriority w:val="99"/>
    <w:qFormat/>
    <w:rsid w:val="006260e1"/>
    <w:rPr>
      <w:rFonts w:ascii="Calibri" w:hAnsi="Calibri" w:eastAsia="Arial Unicode MS" w:cs="Tahoma"/>
      <w:color w:val="000000"/>
      <w:kern w:val="2"/>
      <w:sz w:val="24"/>
      <w:szCs w:val="24"/>
      <w:lang w:val="en-US" w:eastAsia="en-US" w:bidi="en-US"/>
    </w:rPr>
  </w:style>
  <w:style w:type="character" w:styleId="Style15" w:customStyle="1">
    <w:name w:val="Нижний колонтитул Знак"/>
    <w:link w:val="a7"/>
    <w:uiPriority w:val="99"/>
    <w:semiHidden/>
    <w:qFormat/>
    <w:rsid w:val="006260e1"/>
    <w:rPr>
      <w:rFonts w:ascii="Calibri" w:hAnsi="Calibri" w:eastAsia="Arial Unicode MS" w:cs="Tahoma"/>
      <w:color w:val="000000"/>
      <w:kern w:val="2"/>
      <w:sz w:val="24"/>
      <w:szCs w:val="24"/>
      <w:lang w:val="en-US" w:eastAsia="en-US" w:bidi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 w:eastAsia="Times New Roman" w:cs="Times New Roman"/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Обычный1"/>
    <w:qFormat/>
    <w:rsid w:val="00dc021f"/>
    <w:pPr>
      <w:widowControl w:val="false"/>
      <w:suppressAutoHyphens w:val="true"/>
      <w:bidi w:val="0"/>
      <w:spacing w:lineRule="atLeast" w:line="100"/>
      <w:jc w:val="left"/>
      <w:textAlignment w:val="baseline"/>
    </w:pPr>
    <w:rPr>
      <w:rFonts w:ascii="Calibri" w:hAnsi="Calibri" w:eastAsia="Arial Unicode MS" w:cs="Tahoma"/>
      <w:color w:val="000000"/>
      <w:kern w:val="2"/>
      <w:sz w:val="24"/>
      <w:szCs w:val="24"/>
      <w:lang w:val="en-US" w:eastAsia="en-US" w:bidi="en-US"/>
    </w:rPr>
  </w:style>
  <w:style w:type="paragraph" w:styleId="Style21" w:customStyle="1">
    <w:name w:val="Содержимое таблицы"/>
    <w:basedOn w:val="Normal"/>
    <w:qFormat/>
    <w:rsid w:val="00dc021f"/>
    <w:pPr>
      <w:suppressLineNumbers/>
    </w:pPr>
    <w:rPr/>
  </w:style>
  <w:style w:type="paragraph" w:styleId="Style22">
    <w:name w:val="Header"/>
    <w:basedOn w:val="Normal"/>
    <w:link w:val="a6"/>
    <w:uiPriority w:val="99"/>
    <w:unhideWhenUsed/>
    <w:rsid w:val="006260e1"/>
    <w:pPr>
      <w:tabs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8"/>
    <w:uiPriority w:val="99"/>
    <w:semiHidden/>
    <w:unhideWhenUsed/>
    <w:rsid w:val="006260e1"/>
    <w:pPr>
      <w:tabs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fd54fb"/>
    <w:pPr>
      <w:widowControl/>
      <w:suppressAutoHyphens w:val="false"/>
      <w:spacing w:lineRule="auto" w:line="240" w:beforeAutospacing="1" w:after="119"/>
      <w:textAlignment w:val="auto"/>
    </w:pPr>
    <w:rPr>
      <w:rFonts w:ascii="Times New Roman" w:hAnsi="Times New Roman" w:eastAsia="Times New Roman" w:cs="Times New Roman"/>
      <w:color w:val="00000A"/>
      <w:kern w:val="0"/>
      <w:lang w:val="ru-RU" w:eastAsia="ru-RU" w:bidi="ar-SA"/>
    </w:rPr>
  </w:style>
  <w:style w:type="paragraph" w:styleId="Standard" w:customStyle="1">
    <w:name w:val="Standard"/>
    <w:qFormat/>
    <w:rsid w:val="00fb765f"/>
    <w:pPr>
      <w:widowControl w:val="false"/>
      <w:suppressAutoHyphens w:val="true"/>
      <w:bidi w:val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f7680"/>
    <w:pPr>
      <w:widowControl/>
      <w:suppressAutoHyphens w:val="false"/>
      <w:spacing w:lineRule="auto" w:line="240" w:before="0" w:after="0"/>
      <w:ind w:left="720" w:hanging="0"/>
      <w:contextualSpacing/>
      <w:textAlignment w:val="auto"/>
    </w:pPr>
    <w:rPr>
      <w:rFonts w:ascii="Times New Roman" w:hAnsi="Times New Roman" w:eastAsia="Times New Roman" w:cs="Times New Roman"/>
      <w:color w:val="00000A"/>
      <w:kern w:val="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1835d8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24" w:customStyle="1">
    <w:name w:val="Знак Знак Знак Знак"/>
    <w:basedOn w:val="Normal"/>
    <w:qFormat/>
    <w:rsid w:val="00cd3992"/>
    <w:pPr>
      <w:widowControl/>
      <w:suppressAutoHyphens w:val="false"/>
      <w:spacing w:lineRule="exact" w:line="240" w:before="0" w:after="160"/>
      <w:textAlignment w:val="auto"/>
    </w:pPr>
    <w:rPr>
      <w:rFonts w:ascii="Verdana" w:hAnsi="Verdana" w:eastAsia="Times New Roman" w:cs="Times New Roman"/>
      <w:color w:val="00000A"/>
      <w:kern w:val="0"/>
      <w:sz w:val="20"/>
      <w:szCs w:val="20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708a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LibreOffice/5.4.3.2$Windows_x86 LibreOffice_project/92a7159f7e4af62137622921e809f8546db437e5</Application>
  <Pages>3</Pages>
  <Words>1099</Words>
  <Characters>7939</Characters>
  <CharactersWithSpaces>9098</CharactersWithSpaces>
  <Paragraphs>53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2025-07-18T07:28:00Z</dcterms:created>
  <dc:creator>user</dc:creator>
  <dc:description/>
  <dc:language>ru-RU</dc:language>
  <cp:lastModifiedBy>Olga</cp:lastModifiedBy>
  <cp:lastPrinted>2025-07-25T08:05:00Z</cp:lastPrinted>
  <dcterms:modified xsi:type="dcterms:W3CDTF">2025-07-25T08:06:00Z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