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DA" w:rsidRDefault="00864FDA" w:rsidP="00826FA1">
      <w:pPr>
        <w:pStyle w:val="1"/>
        <w:spacing w:before="0" w:after="0" w:line="240" w:lineRule="exact"/>
        <w:contextualSpacing/>
        <w:jc w:val="right"/>
        <w:rPr>
          <w:rFonts w:ascii="Times New Roman" w:hAnsi="Times New Roman" w:cs="Times New Roman"/>
          <w:b w:val="0"/>
          <w:sz w:val="28"/>
          <w:szCs w:val="28"/>
        </w:rPr>
      </w:pPr>
      <w:r>
        <w:rPr>
          <w:rFonts w:ascii="Times New Roman" w:hAnsi="Times New Roman" w:cs="Times New Roman"/>
          <w:b w:val="0"/>
          <w:sz w:val="28"/>
          <w:szCs w:val="28"/>
        </w:rPr>
        <w:t>Приложение №6</w:t>
      </w:r>
    </w:p>
    <w:p w:rsidR="00826FA1" w:rsidRDefault="00864FDA" w:rsidP="00826FA1">
      <w:pPr>
        <w:spacing w:line="240" w:lineRule="exact"/>
        <w:contextualSpacing/>
        <w:jc w:val="right"/>
      </w:pPr>
      <w:r>
        <w:t>к постановлению администрации города</w:t>
      </w:r>
    </w:p>
    <w:p w:rsidR="00826FA1" w:rsidRDefault="00826FA1" w:rsidP="00826FA1">
      <w:pPr>
        <w:spacing w:line="240" w:lineRule="exact"/>
        <w:contextualSpacing/>
        <w:jc w:val="right"/>
      </w:pPr>
      <w:r>
        <w:t xml:space="preserve">от 17.11.2014 № 1691 </w:t>
      </w:r>
    </w:p>
    <w:p w:rsidR="00864FDA" w:rsidRDefault="00864FDA" w:rsidP="00864FDA">
      <w:pPr>
        <w:contextualSpacing/>
        <w:jc w:val="right"/>
      </w:pPr>
      <w:r>
        <w:t xml:space="preserve"> </w:t>
      </w:r>
    </w:p>
    <w:p w:rsidR="00864FDA" w:rsidRDefault="00864FDA" w:rsidP="006E2124">
      <w:pPr>
        <w:spacing w:after="0" w:line="200" w:lineRule="atLeast"/>
        <w:ind w:left="360"/>
        <w:jc w:val="center"/>
        <w:rPr>
          <w:b/>
        </w:rPr>
      </w:pPr>
    </w:p>
    <w:p w:rsidR="006E2124" w:rsidRDefault="006E2124" w:rsidP="006E2124">
      <w:pPr>
        <w:spacing w:after="0" w:line="200" w:lineRule="atLeast"/>
        <w:ind w:left="360"/>
        <w:jc w:val="center"/>
      </w:pPr>
      <w:r>
        <w:rPr>
          <w:b/>
        </w:rPr>
        <w:t>Система подпрограммных мероприятий</w:t>
      </w:r>
    </w:p>
    <w:p w:rsidR="006E2124" w:rsidRDefault="006E2124" w:rsidP="006E2124">
      <w:pPr>
        <w:spacing w:after="0" w:line="200" w:lineRule="atLeast"/>
        <w:ind w:left="360"/>
        <w:jc w:val="right"/>
      </w:pPr>
      <w:r>
        <w:t>Таблица 2</w:t>
      </w:r>
    </w:p>
    <w:tbl>
      <w:tblPr>
        <w:tblW w:w="6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26"/>
        <w:gridCol w:w="2203"/>
        <w:gridCol w:w="2060"/>
        <w:gridCol w:w="1031"/>
        <w:gridCol w:w="1267"/>
        <w:gridCol w:w="1096"/>
        <w:gridCol w:w="656"/>
        <w:gridCol w:w="715"/>
        <w:gridCol w:w="1066"/>
        <w:gridCol w:w="1091"/>
        <w:gridCol w:w="660"/>
        <w:gridCol w:w="644"/>
        <w:gridCol w:w="644"/>
        <w:gridCol w:w="644"/>
        <w:gridCol w:w="644"/>
        <w:gridCol w:w="644"/>
        <w:gridCol w:w="656"/>
      </w:tblGrid>
      <w:tr w:rsidR="006E2124" w:rsidTr="00A203C0">
        <w:trPr>
          <w:gridAfter w:val="6"/>
          <w:wAfter w:w="1043" w:type="pct"/>
          <w:trHeight w:val="270"/>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p w:rsidR="006E2124" w:rsidRDefault="006E2124" w:rsidP="00A203C0">
            <w:pPr>
              <w:autoSpaceDE w:val="0"/>
              <w:spacing w:after="0" w:line="240" w:lineRule="auto"/>
              <w:jc w:val="center"/>
              <w:rPr>
                <w:sz w:val="22"/>
                <w:szCs w:val="22"/>
              </w:rPr>
            </w:pPr>
            <w:r>
              <w:rPr>
                <w:sz w:val="22"/>
                <w:szCs w:val="22"/>
              </w:rPr>
              <w:t>п/п</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Цель, задачи, мероприятия Подпрограммы</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Ответственные</w:t>
            </w:r>
          </w:p>
          <w:p w:rsidR="006E2124" w:rsidRDefault="006E2124" w:rsidP="00A203C0">
            <w:pPr>
              <w:autoSpaceDE w:val="0"/>
              <w:spacing w:after="0" w:line="240" w:lineRule="auto"/>
              <w:jc w:val="center"/>
              <w:rPr>
                <w:sz w:val="22"/>
                <w:szCs w:val="22"/>
              </w:rPr>
            </w:pPr>
            <w:r>
              <w:rPr>
                <w:sz w:val="22"/>
                <w:szCs w:val="22"/>
              </w:rPr>
              <w:t>за выполнение</w:t>
            </w:r>
          </w:p>
        </w:tc>
        <w:tc>
          <w:tcPr>
            <w:tcW w:w="1138" w:type="pct"/>
            <w:gridSpan w:val="3"/>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Ожидаемые непосредственные результаты</w:t>
            </w:r>
          </w:p>
        </w:tc>
        <w:tc>
          <w:tcPr>
            <w:tcW w:w="1412" w:type="pct"/>
            <w:gridSpan w:val="6"/>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Объем финансирования (тыс. руб.)</w:t>
            </w:r>
          </w:p>
        </w:tc>
      </w:tr>
      <w:tr w:rsidR="006E2124" w:rsidTr="00A203C0">
        <w:trPr>
          <w:gridAfter w:val="6"/>
          <w:wAfter w:w="1043" w:type="pct"/>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Наименование</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Единица изме-рения</w:t>
            </w:r>
          </w:p>
        </w:tc>
        <w:tc>
          <w:tcPr>
            <w:tcW w:w="341"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Целевое значение</w:t>
            </w:r>
          </w:p>
        </w:tc>
        <w:tc>
          <w:tcPr>
            <w:tcW w:w="294"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Всего по годам</w:t>
            </w:r>
          </w:p>
        </w:tc>
        <w:tc>
          <w:tcPr>
            <w:tcW w:w="175"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 xml:space="preserve">Год </w:t>
            </w:r>
          </w:p>
        </w:tc>
        <w:tc>
          <w:tcPr>
            <w:tcW w:w="943" w:type="pct"/>
            <w:gridSpan w:val="4"/>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в том числе:</w:t>
            </w:r>
          </w:p>
        </w:tc>
      </w:tr>
      <w:tr w:rsidR="006E2124" w:rsidTr="00A203C0">
        <w:trPr>
          <w:gridAfter w:val="6"/>
          <w:wAfter w:w="10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Pr="00647D4C"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Pr="00647D4C"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Pr="00647D4C"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Pr="00647D4C"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Pr="00647D4C" w:rsidRDefault="006E2124" w:rsidP="00A203C0">
            <w:pPr>
              <w:suppressAutoHyphens w:val="0"/>
              <w:spacing w:after="0" w:line="240" w:lineRule="auto"/>
              <w:rPr>
                <w:sz w:val="22"/>
                <w:szCs w:val="22"/>
              </w:rPr>
            </w:pPr>
          </w:p>
        </w:tc>
        <w:tc>
          <w:tcPr>
            <w:tcW w:w="184"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фед</w:t>
            </w:r>
          </w:p>
          <w:p w:rsidR="006E2124" w:rsidRPr="00647D4C" w:rsidRDefault="006E2124" w:rsidP="00A203C0">
            <w:pPr>
              <w:autoSpaceDE w:val="0"/>
              <w:spacing w:after="0" w:line="240" w:lineRule="auto"/>
              <w:jc w:val="center"/>
              <w:rPr>
                <w:sz w:val="22"/>
                <w:szCs w:val="22"/>
              </w:rPr>
            </w:pPr>
            <w:r w:rsidRPr="00647D4C">
              <w:rPr>
                <w:sz w:val="22"/>
                <w:szCs w:val="22"/>
              </w:rPr>
              <w:t>.бюд.</w:t>
            </w:r>
          </w:p>
        </w:tc>
        <w:tc>
          <w:tcPr>
            <w:tcW w:w="292"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обл.</w:t>
            </w:r>
          </w:p>
          <w:p w:rsidR="006E2124" w:rsidRPr="00647D4C" w:rsidRDefault="006E2124" w:rsidP="00A203C0">
            <w:pPr>
              <w:autoSpaceDE w:val="0"/>
              <w:spacing w:after="0" w:line="240" w:lineRule="auto"/>
              <w:jc w:val="center"/>
              <w:rPr>
                <w:sz w:val="22"/>
                <w:szCs w:val="22"/>
              </w:rPr>
            </w:pPr>
            <w:r w:rsidRPr="00647D4C">
              <w:rPr>
                <w:sz w:val="22"/>
                <w:szCs w:val="22"/>
              </w:rPr>
              <w:t>бюд.</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гор</w:t>
            </w:r>
          </w:p>
          <w:p w:rsidR="006E2124" w:rsidRDefault="006E2124" w:rsidP="00A203C0">
            <w:pPr>
              <w:autoSpaceDE w:val="0"/>
              <w:spacing w:after="0" w:line="240" w:lineRule="auto"/>
              <w:jc w:val="center"/>
              <w:rPr>
                <w:sz w:val="22"/>
                <w:szCs w:val="22"/>
              </w:rPr>
            </w:pPr>
            <w:r>
              <w:rPr>
                <w:sz w:val="22"/>
                <w:szCs w:val="22"/>
              </w:rPr>
              <w:t>.бюд.</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вне-</w:t>
            </w:r>
          </w:p>
          <w:p w:rsidR="006E2124" w:rsidRDefault="006E2124" w:rsidP="00A203C0">
            <w:pPr>
              <w:autoSpaceDE w:val="0"/>
              <w:spacing w:after="0" w:line="240" w:lineRule="auto"/>
              <w:jc w:val="center"/>
              <w:rPr>
                <w:sz w:val="22"/>
                <w:szCs w:val="22"/>
              </w:rPr>
            </w:pPr>
            <w:r>
              <w:rPr>
                <w:sz w:val="22"/>
                <w:szCs w:val="22"/>
              </w:rPr>
              <w:t>бюд. ср-ва</w:t>
            </w:r>
          </w:p>
        </w:tc>
      </w:tr>
      <w:tr w:rsidR="006E2124" w:rsidTr="00A203C0">
        <w:trPr>
          <w:gridAfter w:val="6"/>
          <w:wAfter w:w="1043" w:type="pct"/>
        </w:trPr>
        <w:tc>
          <w:tcPr>
            <w:tcW w:w="141"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w:t>
            </w:r>
          </w:p>
        </w:tc>
        <w:tc>
          <w:tcPr>
            <w:tcW w:w="676"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w:t>
            </w:r>
          </w:p>
        </w:tc>
        <w:tc>
          <w:tcPr>
            <w:tcW w:w="590"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3</w:t>
            </w:r>
          </w:p>
        </w:tc>
        <w:tc>
          <w:tcPr>
            <w:tcW w:w="531"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4</w:t>
            </w:r>
          </w:p>
        </w:tc>
        <w:tc>
          <w:tcPr>
            <w:tcW w:w="266"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5</w:t>
            </w:r>
          </w:p>
        </w:tc>
        <w:tc>
          <w:tcPr>
            <w:tcW w:w="341"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6</w:t>
            </w:r>
          </w:p>
        </w:tc>
        <w:tc>
          <w:tcPr>
            <w:tcW w:w="294"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7</w:t>
            </w:r>
          </w:p>
        </w:tc>
        <w:tc>
          <w:tcPr>
            <w:tcW w:w="175"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8</w:t>
            </w:r>
          </w:p>
        </w:tc>
        <w:tc>
          <w:tcPr>
            <w:tcW w:w="184"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9</w:t>
            </w:r>
          </w:p>
        </w:tc>
        <w:tc>
          <w:tcPr>
            <w:tcW w:w="292"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10</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11</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12</w:t>
            </w:r>
          </w:p>
        </w:tc>
      </w:tr>
      <w:tr w:rsidR="006E2124" w:rsidTr="00A203C0">
        <w:trPr>
          <w:gridAfter w:val="6"/>
          <w:wAfter w:w="1043" w:type="pct"/>
        </w:trPr>
        <w:tc>
          <w:tcPr>
            <w:tcW w:w="3957" w:type="pct"/>
            <w:gridSpan w:val="12"/>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both"/>
              <w:rPr>
                <w:b/>
                <w:sz w:val="22"/>
                <w:szCs w:val="22"/>
              </w:rPr>
            </w:pPr>
            <w:r w:rsidRPr="00647D4C">
              <w:rPr>
                <w:b/>
                <w:sz w:val="22"/>
                <w:szCs w:val="22"/>
              </w:rPr>
              <w:t>Цель подпрограммы</w:t>
            </w:r>
            <w:r w:rsidRPr="00647D4C">
              <w:rPr>
                <w:sz w:val="22"/>
                <w:szCs w:val="22"/>
              </w:rPr>
              <w:t>: обеспечение организационных, информационных и методических условий для реализации муниципальной программы.</w:t>
            </w:r>
          </w:p>
        </w:tc>
      </w:tr>
      <w:tr w:rsidR="006E2124" w:rsidTr="00A203C0">
        <w:trPr>
          <w:gridAfter w:val="6"/>
          <w:wAfter w:w="1043" w:type="pct"/>
          <w:trHeight w:val="130"/>
        </w:trPr>
        <w:tc>
          <w:tcPr>
            <w:tcW w:w="141"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b/>
                <w:sz w:val="22"/>
                <w:szCs w:val="22"/>
              </w:rPr>
            </w:pPr>
            <w:r>
              <w:rPr>
                <w:b/>
                <w:sz w:val="22"/>
                <w:szCs w:val="22"/>
              </w:rPr>
              <w:t>1.</w:t>
            </w:r>
          </w:p>
        </w:tc>
        <w:tc>
          <w:tcPr>
            <w:tcW w:w="3816" w:type="pct"/>
            <w:gridSpan w:val="11"/>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pStyle w:val="a3"/>
              <w:jc w:val="both"/>
              <w:rPr>
                <w:rFonts w:ascii="Times New Roman" w:hAnsi="Times New Roman" w:cs="Times New Roman"/>
                <w:sz w:val="22"/>
                <w:szCs w:val="22"/>
              </w:rPr>
            </w:pPr>
            <w:r w:rsidRPr="00647D4C">
              <w:rPr>
                <w:rFonts w:ascii="Times New Roman" w:hAnsi="Times New Roman" w:cs="Times New Roman"/>
                <w:b/>
                <w:sz w:val="22"/>
                <w:szCs w:val="22"/>
              </w:rPr>
              <w:t xml:space="preserve">Задача 1: </w:t>
            </w:r>
            <w:r w:rsidRPr="00647D4C">
              <w:rPr>
                <w:rFonts w:ascii="Times New Roman" w:hAnsi="Times New Roman" w:cs="Times New Roman"/>
                <w:sz w:val="22"/>
                <w:szCs w:val="22"/>
              </w:rPr>
              <w:t>Развитие единой образовательной информационной среды</w:t>
            </w:r>
          </w:p>
        </w:tc>
      </w:tr>
      <w:tr w:rsidR="006E2124" w:rsidTr="00A203C0">
        <w:trPr>
          <w:gridAfter w:val="6"/>
          <w:wAfter w:w="1043" w:type="pct"/>
          <w:trHeight w:val="414"/>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1.1.</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rFonts w:eastAsia="Times New Roman"/>
                <w:sz w:val="22"/>
                <w:szCs w:val="22"/>
              </w:rPr>
              <w:t>Финансирование расходов на оплату труда работников МКУ РЦСО, отчисление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w:t>
            </w:r>
          </w:p>
          <w:p w:rsidR="006E2124" w:rsidRDefault="006E2124" w:rsidP="00A203C0">
            <w:pPr>
              <w:spacing w:after="0" w:line="240" w:lineRule="auto"/>
              <w:jc w:val="both"/>
              <w:rPr>
                <w:rFonts w:eastAsia="Times New Roman"/>
                <w:sz w:val="22"/>
                <w:szCs w:val="22"/>
              </w:rPr>
            </w:pPr>
            <w:r>
              <w:rPr>
                <w:rFonts w:eastAsia="Times New Roman"/>
                <w:sz w:val="22"/>
                <w:szCs w:val="22"/>
              </w:rPr>
              <w:t xml:space="preserve">Проведение в образовательных учреждениях научно-практических конференций, семинаров, круглых </w:t>
            </w:r>
            <w:r>
              <w:rPr>
                <w:rFonts w:eastAsia="Times New Roman"/>
                <w:sz w:val="22"/>
                <w:szCs w:val="22"/>
              </w:rPr>
              <w:lastRenderedPageBreak/>
              <w:t xml:space="preserve">столов </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lastRenderedPageBreak/>
              <w:t>МКУ РЦСО</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spacing w:after="0" w:line="240" w:lineRule="auto"/>
              <w:ind w:right="-79"/>
              <w:jc w:val="center"/>
              <w:rPr>
                <w:rFonts w:eastAsia="Times New Roman"/>
                <w:sz w:val="22"/>
                <w:szCs w:val="22"/>
              </w:rPr>
            </w:pPr>
            <w:r w:rsidRPr="00647D4C">
              <w:rPr>
                <w:rFonts w:eastAsia="Times New Roman"/>
                <w:sz w:val="22"/>
                <w:szCs w:val="22"/>
              </w:rPr>
              <w:t xml:space="preserve">Охват участников городскими меро-приятиями (конфе-ренциями,семинара-ми) </w:t>
            </w:r>
          </w:p>
        </w:tc>
        <w:tc>
          <w:tcPr>
            <w:tcW w:w="266" w:type="pct"/>
            <w:vMerge w:val="restart"/>
            <w:tcBorders>
              <w:top w:val="single" w:sz="4" w:space="0" w:color="auto"/>
              <w:left w:val="single" w:sz="4" w:space="0" w:color="auto"/>
              <w:bottom w:val="single" w:sz="4" w:space="0" w:color="auto"/>
              <w:right w:val="single" w:sz="4" w:space="0" w:color="auto"/>
            </w:tcBorders>
          </w:tcPr>
          <w:p w:rsidR="006E2124" w:rsidRPr="00647D4C" w:rsidRDefault="006E2124" w:rsidP="00A203C0">
            <w:pPr>
              <w:snapToGrid w:val="0"/>
              <w:spacing w:after="0" w:line="240" w:lineRule="auto"/>
              <w:jc w:val="center"/>
              <w:rPr>
                <w:rFonts w:eastAsia="Times New Roman"/>
                <w:sz w:val="22"/>
                <w:szCs w:val="22"/>
              </w:rPr>
            </w:pPr>
          </w:p>
          <w:p w:rsidR="006E2124" w:rsidRPr="00647D4C" w:rsidRDefault="006E2124" w:rsidP="00A203C0">
            <w:pPr>
              <w:spacing w:after="0" w:line="240" w:lineRule="auto"/>
              <w:jc w:val="center"/>
              <w:rPr>
                <w:rFonts w:eastAsia="Times New Roman"/>
                <w:sz w:val="22"/>
                <w:szCs w:val="22"/>
              </w:rPr>
            </w:pPr>
          </w:p>
          <w:p w:rsidR="006E2124" w:rsidRPr="00647D4C" w:rsidRDefault="006E2124" w:rsidP="00A203C0">
            <w:pPr>
              <w:spacing w:after="0" w:line="240" w:lineRule="auto"/>
              <w:jc w:val="center"/>
              <w:rPr>
                <w:rFonts w:eastAsia="Times New Roman"/>
                <w:sz w:val="22"/>
                <w:szCs w:val="22"/>
                <w:lang w:val="en-US"/>
              </w:rPr>
            </w:pPr>
            <w:r w:rsidRPr="00647D4C">
              <w:rPr>
                <w:rFonts w:eastAsia="Times New Roman"/>
                <w:sz w:val="22"/>
                <w:szCs w:val="22"/>
                <w:lang w:val="en-US"/>
              </w:rPr>
              <w:t>%</w:t>
            </w:r>
          </w:p>
        </w:tc>
        <w:tc>
          <w:tcPr>
            <w:tcW w:w="341" w:type="pct"/>
            <w:vMerge w:val="restart"/>
            <w:tcBorders>
              <w:top w:val="single" w:sz="4" w:space="0" w:color="auto"/>
              <w:left w:val="single" w:sz="4" w:space="0" w:color="auto"/>
              <w:bottom w:val="single" w:sz="4" w:space="0" w:color="auto"/>
              <w:right w:val="single" w:sz="4" w:space="0" w:color="auto"/>
            </w:tcBorders>
          </w:tcPr>
          <w:p w:rsidR="006E2124" w:rsidRPr="00647D4C" w:rsidRDefault="006E2124" w:rsidP="00A203C0">
            <w:pPr>
              <w:snapToGrid w:val="0"/>
              <w:spacing w:after="0" w:line="240" w:lineRule="auto"/>
              <w:jc w:val="center"/>
              <w:rPr>
                <w:rFonts w:eastAsia="Times New Roman"/>
                <w:sz w:val="22"/>
                <w:szCs w:val="22"/>
              </w:rPr>
            </w:pP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 xml:space="preserve">2014-70% </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2015-80%</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2016-90%</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2017 – 90%</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2018 – 90%</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2019- 90%</w:t>
            </w:r>
          </w:p>
          <w:p w:rsidR="006E2124" w:rsidRPr="00647D4C" w:rsidRDefault="006E2124" w:rsidP="00A203C0">
            <w:pPr>
              <w:snapToGrid w:val="0"/>
              <w:spacing w:after="0" w:line="240" w:lineRule="auto"/>
              <w:jc w:val="center"/>
              <w:rPr>
                <w:rFonts w:eastAsia="Times New Roman"/>
                <w:sz w:val="22"/>
                <w:szCs w:val="22"/>
              </w:rPr>
            </w:pPr>
            <w:r w:rsidRPr="00647D4C">
              <w:rPr>
                <w:rFonts w:eastAsia="Times New Roman"/>
                <w:sz w:val="22"/>
                <w:szCs w:val="22"/>
              </w:rPr>
              <w:t>2020 – 90%</w:t>
            </w:r>
          </w:p>
          <w:p w:rsidR="006E2124" w:rsidRPr="00647D4C" w:rsidRDefault="006E2124" w:rsidP="00A203C0">
            <w:pPr>
              <w:spacing w:after="0" w:line="240" w:lineRule="auto"/>
              <w:jc w:val="center"/>
              <w:rPr>
                <w:rFonts w:eastAsia="Times New Roman"/>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snapToGrid w:val="0"/>
              <w:spacing w:after="0" w:line="240" w:lineRule="auto"/>
              <w:jc w:val="right"/>
              <w:rPr>
                <w:rFonts w:eastAsia="Times New Roman"/>
                <w:sz w:val="22"/>
                <w:szCs w:val="22"/>
              </w:rPr>
            </w:pPr>
          </w:p>
          <w:p w:rsidR="006E2124" w:rsidRPr="00647D4C" w:rsidRDefault="006E2124" w:rsidP="00A203C0">
            <w:pPr>
              <w:snapToGrid w:val="0"/>
              <w:spacing w:after="0" w:line="240" w:lineRule="auto"/>
              <w:jc w:val="right"/>
              <w:rPr>
                <w:rFonts w:eastAsia="Times New Roman"/>
                <w:sz w:val="22"/>
                <w:szCs w:val="22"/>
              </w:rPr>
            </w:pPr>
            <w:r w:rsidRPr="00647D4C">
              <w:rPr>
                <w:rFonts w:eastAsia="Times New Roman"/>
                <w:sz w:val="22"/>
                <w:szCs w:val="22"/>
              </w:rPr>
              <w:t>125381,7</w:t>
            </w:r>
          </w:p>
          <w:p w:rsidR="006E2124" w:rsidRPr="00647D4C" w:rsidRDefault="006E2124" w:rsidP="00A203C0">
            <w:pPr>
              <w:snapToGrid w:val="0"/>
              <w:spacing w:after="0" w:line="240" w:lineRule="auto"/>
              <w:jc w:val="right"/>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r w:rsidRPr="00647D4C">
              <w:rPr>
                <w:sz w:val="22"/>
                <w:szCs w:val="22"/>
              </w:rPr>
              <w:t>2014</w:t>
            </w:r>
          </w:p>
        </w:tc>
        <w:tc>
          <w:tcPr>
            <w:tcW w:w="184" w:type="pct"/>
            <w:tcBorders>
              <w:top w:val="single" w:sz="4" w:space="0" w:color="auto"/>
              <w:left w:val="single" w:sz="4" w:space="0" w:color="auto"/>
              <w:bottom w:val="single" w:sz="4" w:space="0" w:color="auto"/>
              <w:right w:val="single" w:sz="4" w:space="0" w:color="auto"/>
            </w:tcBorders>
          </w:tcPr>
          <w:p w:rsidR="006E2124" w:rsidRPr="00647D4C" w:rsidRDefault="006E2124" w:rsidP="00A203C0">
            <w:pPr>
              <w:snapToGrid w:val="0"/>
              <w:spacing w:after="0" w:line="240" w:lineRule="auto"/>
              <w:jc w:val="center"/>
              <w:rPr>
                <w:rFonts w:eastAsia="Times New Roman"/>
                <w:sz w:val="22"/>
                <w:szCs w:val="22"/>
                <w:lang w:val="en-US"/>
              </w:rPr>
            </w:pPr>
          </w:p>
        </w:tc>
        <w:tc>
          <w:tcPr>
            <w:tcW w:w="292" w:type="pct"/>
            <w:tcBorders>
              <w:top w:val="single" w:sz="4" w:space="0" w:color="auto"/>
              <w:left w:val="single" w:sz="4" w:space="0" w:color="auto"/>
              <w:bottom w:val="single" w:sz="4" w:space="0" w:color="auto"/>
              <w:right w:val="single" w:sz="4" w:space="0" w:color="auto"/>
            </w:tcBorders>
            <w:hideMark/>
          </w:tcPr>
          <w:p w:rsidR="006E2124" w:rsidRPr="00647D4C" w:rsidRDefault="002C2910" w:rsidP="00A203C0">
            <w:pPr>
              <w:snapToGrid w:val="0"/>
              <w:spacing w:after="0" w:line="240" w:lineRule="auto"/>
              <w:rPr>
                <w:rFonts w:eastAsia="Times New Roman"/>
                <w:sz w:val="22"/>
                <w:szCs w:val="22"/>
              </w:rPr>
            </w:pPr>
            <w:r w:rsidRPr="00647D4C">
              <w:rPr>
                <w:rFonts w:eastAsia="Times New Roman"/>
                <w:sz w:val="22"/>
                <w:szCs w:val="22"/>
              </w:rPr>
              <w:t>14132,5</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4664,0</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lang w:val="en-US"/>
              </w:rPr>
            </w:pP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jc w:val="center"/>
              <w:rPr>
                <w:rFonts w:eastAsia="Times New Roman"/>
                <w:sz w:val="22"/>
                <w:szCs w:val="22"/>
                <w:lang w:val="en-US"/>
              </w:rPr>
            </w:pPr>
            <w:r>
              <w:rPr>
                <w:rFonts w:eastAsia="Times New Roman"/>
                <w:sz w:val="22"/>
                <w:szCs w:val="22"/>
              </w:rPr>
              <w:t>4847,4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lang w:val="en-US"/>
              </w:rPr>
            </w:pP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4871,4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4871,4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4871,4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4871,4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12896,3</w:t>
            </w: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snapToGrid w:val="0"/>
              <w:spacing w:after="0" w:line="240" w:lineRule="auto"/>
              <w:rPr>
                <w:rFonts w:eastAsia="Times New Roman"/>
                <w:sz w:val="22"/>
                <w:szCs w:val="22"/>
                <w:lang w:val="en-US"/>
              </w:rPr>
            </w:pPr>
            <w:r>
              <w:rPr>
                <w:rFonts w:eastAsia="Times New Roman"/>
                <w:sz w:val="22"/>
                <w:szCs w:val="22"/>
              </w:rPr>
              <w:t>4871,4</w:t>
            </w: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lastRenderedPageBreak/>
              <w:t>1.2.</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Техническое обслуживание аппаратно-программных комплексов и средств доступа в Интернет учреждений системы образования города</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 МКУ РЦСО</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Охват образовательных учреждений</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w:t>
            </w: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r>
              <w:rPr>
                <w:rFonts w:eastAsia="Times New Roman"/>
                <w:sz w:val="22"/>
                <w:szCs w:val="22"/>
              </w:rPr>
              <w:t>2014 – не 100%</w:t>
            </w:r>
          </w:p>
          <w:p w:rsidR="006E2124" w:rsidRDefault="006E2124" w:rsidP="00A203C0">
            <w:pPr>
              <w:spacing w:after="0" w:line="240" w:lineRule="auto"/>
              <w:jc w:val="center"/>
              <w:rPr>
                <w:rFonts w:eastAsia="Times New Roman"/>
                <w:sz w:val="22"/>
                <w:szCs w:val="22"/>
              </w:rPr>
            </w:pPr>
            <w:r>
              <w:rPr>
                <w:rFonts w:eastAsia="Times New Roman"/>
                <w:sz w:val="22"/>
                <w:szCs w:val="22"/>
              </w:rPr>
              <w:t>2015 – не 100%</w:t>
            </w:r>
          </w:p>
          <w:p w:rsidR="006E2124" w:rsidRDefault="006E2124" w:rsidP="00A203C0">
            <w:pPr>
              <w:spacing w:after="0" w:line="240" w:lineRule="auto"/>
              <w:jc w:val="center"/>
              <w:rPr>
                <w:rFonts w:eastAsia="Times New Roman"/>
                <w:sz w:val="22"/>
                <w:szCs w:val="22"/>
              </w:rPr>
            </w:pPr>
            <w:r>
              <w:rPr>
                <w:rFonts w:eastAsia="Times New Roman"/>
                <w:sz w:val="22"/>
                <w:szCs w:val="22"/>
              </w:rPr>
              <w:t>2016 – 100%</w:t>
            </w:r>
          </w:p>
          <w:p w:rsidR="006E2124" w:rsidRDefault="006E2124" w:rsidP="00A203C0">
            <w:pPr>
              <w:spacing w:after="0" w:line="240" w:lineRule="auto"/>
              <w:jc w:val="center"/>
              <w:rPr>
                <w:rFonts w:eastAsia="Times New Roman"/>
                <w:sz w:val="22"/>
                <w:szCs w:val="22"/>
              </w:rPr>
            </w:pPr>
            <w:r>
              <w:rPr>
                <w:rFonts w:eastAsia="Times New Roman"/>
                <w:sz w:val="22"/>
                <w:szCs w:val="22"/>
              </w:rPr>
              <w:t>2017 – 100%</w:t>
            </w:r>
          </w:p>
          <w:p w:rsidR="006E2124" w:rsidRDefault="006E2124" w:rsidP="00A203C0">
            <w:pPr>
              <w:spacing w:after="0" w:line="240" w:lineRule="auto"/>
              <w:jc w:val="center"/>
              <w:rPr>
                <w:rFonts w:eastAsia="Times New Roman"/>
                <w:sz w:val="22"/>
                <w:szCs w:val="22"/>
              </w:rPr>
            </w:pPr>
            <w:r>
              <w:rPr>
                <w:rFonts w:eastAsia="Times New Roman"/>
                <w:sz w:val="22"/>
                <w:szCs w:val="22"/>
              </w:rPr>
              <w:t>2018 – 100%</w:t>
            </w:r>
          </w:p>
          <w:p w:rsidR="006E2124" w:rsidRDefault="006E2124" w:rsidP="00A203C0">
            <w:pPr>
              <w:spacing w:after="0" w:line="240" w:lineRule="auto"/>
              <w:jc w:val="center"/>
              <w:rPr>
                <w:rFonts w:eastAsia="Times New Roman"/>
                <w:sz w:val="22"/>
                <w:szCs w:val="22"/>
              </w:rPr>
            </w:pPr>
            <w:r>
              <w:rPr>
                <w:rFonts w:eastAsia="Times New Roman"/>
                <w:sz w:val="22"/>
                <w:szCs w:val="22"/>
              </w:rPr>
              <w:t>2019 – 100%</w:t>
            </w:r>
          </w:p>
          <w:p w:rsidR="006E2124" w:rsidRDefault="006E2124" w:rsidP="00A203C0">
            <w:pPr>
              <w:spacing w:after="0" w:line="240" w:lineRule="auto"/>
              <w:jc w:val="center"/>
              <w:rPr>
                <w:rFonts w:eastAsia="Times New Roman"/>
                <w:sz w:val="22"/>
                <w:szCs w:val="22"/>
              </w:rPr>
            </w:pPr>
            <w:r>
              <w:rPr>
                <w:rFonts w:eastAsia="Times New Roman"/>
                <w:sz w:val="22"/>
                <w:szCs w:val="22"/>
              </w:rPr>
              <w:t>2020 – 100%</w:t>
            </w: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141"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1.3.</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Обеспечение учреждений системы образования города компьютерной техникой, оборудованием, средствами коммуникации, лицензионными и сертифицированными программными продуктами, средствами автоматизации управленческой и хозяйственной деятельности</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w:t>
            </w:r>
          </w:p>
        </w:tc>
        <w:tc>
          <w:tcPr>
            <w:tcW w:w="53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ind w:right="-79"/>
              <w:jc w:val="center"/>
              <w:rPr>
                <w:sz w:val="22"/>
                <w:szCs w:val="22"/>
              </w:rPr>
            </w:pPr>
          </w:p>
        </w:tc>
        <w:tc>
          <w:tcPr>
            <w:tcW w:w="266"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1.4.</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Обеспечение условий для доступа к ресурсам дистанционного образования</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w:t>
            </w:r>
          </w:p>
        </w:tc>
        <w:tc>
          <w:tcPr>
            <w:tcW w:w="53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ind w:right="-79"/>
              <w:jc w:val="center"/>
              <w:rPr>
                <w:sz w:val="22"/>
                <w:szCs w:val="22"/>
              </w:rPr>
            </w:pPr>
          </w:p>
        </w:tc>
        <w:tc>
          <w:tcPr>
            <w:tcW w:w="266"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rPr>
          <w:gridAfter w:val="6"/>
          <w:wAfter w:w="1043" w:type="pc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napToGrid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vAlign w:val="center"/>
          </w:tcPr>
          <w:p w:rsidR="006E2124" w:rsidRDefault="006E2124" w:rsidP="00A203C0">
            <w:pPr>
              <w:autoSpaceDE w:val="0"/>
              <w:spacing w:after="0" w:line="240" w:lineRule="auto"/>
              <w:jc w:val="center"/>
              <w:rPr>
                <w:b/>
                <w:sz w:val="22"/>
                <w:szCs w:val="22"/>
              </w:rPr>
            </w:pPr>
          </w:p>
        </w:tc>
      </w:tr>
      <w:tr w:rsidR="006E2124" w:rsidTr="00A203C0">
        <w:tc>
          <w:tcPr>
            <w:tcW w:w="141"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b/>
                <w:sz w:val="22"/>
                <w:szCs w:val="22"/>
              </w:rPr>
            </w:pPr>
            <w:r>
              <w:rPr>
                <w:b/>
                <w:sz w:val="22"/>
                <w:szCs w:val="22"/>
              </w:rPr>
              <w:t>2</w:t>
            </w:r>
            <w:r>
              <w:rPr>
                <w:sz w:val="22"/>
                <w:szCs w:val="22"/>
              </w:rPr>
              <w:t>.</w:t>
            </w:r>
          </w:p>
        </w:tc>
        <w:tc>
          <w:tcPr>
            <w:tcW w:w="3816" w:type="pct"/>
            <w:gridSpan w:val="11"/>
            <w:tcBorders>
              <w:top w:val="single" w:sz="4" w:space="0" w:color="auto"/>
              <w:left w:val="single" w:sz="4" w:space="0" w:color="auto"/>
              <w:bottom w:val="single" w:sz="4" w:space="0" w:color="auto"/>
              <w:right w:val="single" w:sz="4" w:space="0" w:color="auto"/>
            </w:tcBorders>
            <w:hideMark/>
          </w:tcPr>
          <w:p w:rsidR="006E2124" w:rsidRDefault="006E2124" w:rsidP="00A203C0">
            <w:pPr>
              <w:pStyle w:val="a3"/>
              <w:jc w:val="both"/>
              <w:rPr>
                <w:rFonts w:ascii="Times New Roman" w:hAnsi="Times New Roman" w:cs="Times New Roman"/>
                <w:sz w:val="22"/>
                <w:szCs w:val="22"/>
              </w:rPr>
            </w:pPr>
            <w:r>
              <w:rPr>
                <w:rFonts w:ascii="Times New Roman" w:hAnsi="Times New Roman" w:cs="Times New Roman"/>
                <w:b/>
                <w:sz w:val="22"/>
                <w:szCs w:val="22"/>
              </w:rPr>
              <w:t>Задача 2: обеспечение безопасности учебно-воспитательного процесса в образовательном учреждении</w:t>
            </w:r>
          </w:p>
        </w:tc>
        <w:tc>
          <w:tcPr>
            <w:tcW w:w="175" w:type="pct"/>
            <w:tcBorders>
              <w:top w:val="single" w:sz="4" w:space="0" w:color="auto"/>
              <w:left w:val="single" w:sz="4" w:space="0" w:color="auto"/>
              <w:bottom w:val="single" w:sz="4" w:space="0" w:color="auto"/>
              <w:right w:val="single" w:sz="4" w:space="0" w:color="auto"/>
            </w:tcBorders>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tcPr>
          <w:p w:rsidR="006E2124" w:rsidRDefault="006E2124" w:rsidP="00A203C0">
            <w:pPr>
              <w:suppressAutoHyphens w:val="0"/>
              <w:spacing w:after="0" w:line="240" w:lineRule="auto"/>
              <w:rPr>
                <w:sz w:val="22"/>
                <w:szCs w:val="22"/>
              </w:rPr>
            </w:pPr>
          </w:p>
        </w:tc>
        <w:tc>
          <w:tcPr>
            <w:tcW w:w="169"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r>
      <w:tr w:rsidR="006E2124" w:rsidTr="00A203C0">
        <w:trPr>
          <w:gridAfter w:val="6"/>
          <w:wAfter w:w="1043" w:type="pct"/>
          <w:trHeight w:val="494"/>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2.1.</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Проведение замера сопротивления изоляции</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 МКУ РЦСО</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Доля образовательных учреждений,</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w:t>
            </w: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r>
              <w:rPr>
                <w:rFonts w:eastAsia="Times New Roman"/>
                <w:sz w:val="22"/>
                <w:szCs w:val="22"/>
              </w:rPr>
              <w:t>2014 – не 100%</w:t>
            </w:r>
          </w:p>
          <w:p w:rsidR="006E2124" w:rsidRDefault="006E2124" w:rsidP="00A203C0">
            <w:pPr>
              <w:spacing w:after="0" w:line="240" w:lineRule="auto"/>
              <w:jc w:val="center"/>
              <w:rPr>
                <w:rFonts w:eastAsia="Times New Roman"/>
                <w:sz w:val="22"/>
                <w:szCs w:val="22"/>
              </w:rPr>
            </w:pPr>
            <w:r>
              <w:rPr>
                <w:rFonts w:eastAsia="Times New Roman"/>
                <w:sz w:val="22"/>
                <w:szCs w:val="22"/>
              </w:rPr>
              <w:t>2015 – не 100%</w:t>
            </w:r>
          </w:p>
          <w:p w:rsidR="006E2124" w:rsidRDefault="006E2124" w:rsidP="00A203C0">
            <w:pPr>
              <w:spacing w:after="0" w:line="240" w:lineRule="auto"/>
              <w:jc w:val="center"/>
              <w:rPr>
                <w:rFonts w:eastAsia="Times New Roman"/>
                <w:sz w:val="22"/>
                <w:szCs w:val="22"/>
              </w:rPr>
            </w:pPr>
            <w:r>
              <w:rPr>
                <w:rFonts w:eastAsia="Times New Roman"/>
                <w:sz w:val="22"/>
                <w:szCs w:val="22"/>
              </w:rPr>
              <w:t>2016 – 100%</w:t>
            </w:r>
          </w:p>
          <w:p w:rsidR="006E2124" w:rsidRDefault="006E2124" w:rsidP="00A203C0">
            <w:pPr>
              <w:spacing w:after="0" w:line="240" w:lineRule="auto"/>
              <w:jc w:val="center"/>
              <w:rPr>
                <w:rFonts w:eastAsia="Times New Roman"/>
                <w:sz w:val="22"/>
                <w:szCs w:val="22"/>
              </w:rPr>
            </w:pPr>
            <w:r>
              <w:rPr>
                <w:rFonts w:eastAsia="Times New Roman"/>
                <w:sz w:val="22"/>
                <w:szCs w:val="22"/>
              </w:rPr>
              <w:t>2017 – 100%</w:t>
            </w:r>
          </w:p>
          <w:p w:rsidR="006E2124" w:rsidRDefault="006E2124" w:rsidP="00A203C0">
            <w:pPr>
              <w:spacing w:after="0" w:line="240" w:lineRule="auto"/>
              <w:jc w:val="center"/>
              <w:rPr>
                <w:rFonts w:eastAsia="Times New Roman"/>
                <w:sz w:val="22"/>
                <w:szCs w:val="22"/>
              </w:rPr>
            </w:pPr>
            <w:r>
              <w:rPr>
                <w:rFonts w:eastAsia="Times New Roman"/>
                <w:sz w:val="22"/>
                <w:szCs w:val="22"/>
              </w:rPr>
              <w:t>2018 – 100%</w:t>
            </w:r>
          </w:p>
          <w:p w:rsidR="006E2124" w:rsidRDefault="006E2124" w:rsidP="00A203C0">
            <w:pPr>
              <w:spacing w:after="0" w:line="240" w:lineRule="auto"/>
              <w:jc w:val="center"/>
              <w:rPr>
                <w:rFonts w:eastAsia="Times New Roman"/>
                <w:sz w:val="22"/>
                <w:szCs w:val="22"/>
              </w:rPr>
            </w:pPr>
            <w:r>
              <w:rPr>
                <w:rFonts w:eastAsia="Times New Roman"/>
                <w:sz w:val="22"/>
                <w:szCs w:val="22"/>
              </w:rPr>
              <w:t>2019 – 100%</w:t>
            </w:r>
          </w:p>
          <w:p w:rsidR="006E2124" w:rsidRDefault="006E2124" w:rsidP="00A203C0">
            <w:pPr>
              <w:spacing w:after="0" w:line="240" w:lineRule="auto"/>
              <w:jc w:val="center"/>
              <w:rPr>
                <w:rFonts w:eastAsia="Times New Roman"/>
                <w:sz w:val="22"/>
                <w:szCs w:val="22"/>
              </w:rPr>
            </w:pPr>
            <w:r>
              <w:rPr>
                <w:rFonts w:eastAsia="Times New Roman"/>
                <w:sz w:val="22"/>
                <w:szCs w:val="22"/>
              </w:rPr>
              <w:t>2020 – 100%</w:t>
            </w:r>
          </w:p>
          <w:p w:rsidR="006E2124" w:rsidRDefault="006E2124" w:rsidP="00A203C0">
            <w:pPr>
              <w:spacing w:after="0" w:line="240" w:lineRule="auto"/>
              <w:jc w:val="center"/>
              <w:rPr>
                <w:rFonts w:eastAsia="Times New Roman"/>
                <w:sz w:val="22"/>
                <w:szCs w:val="22"/>
              </w:rPr>
            </w:pPr>
          </w:p>
          <w:p w:rsidR="006E2124" w:rsidRDefault="006E2124" w:rsidP="00A203C0">
            <w:pPr>
              <w:spacing w:after="0" w:line="240" w:lineRule="auto"/>
              <w:jc w:val="center"/>
              <w:rPr>
                <w:rFonts w:eastAsia="Times New Roman"/>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right"/>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c>
          <w:tcPr>
            <w:tcW w:w="173"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w:t>
            </w:r>
          </w:p>
        </w:tc>
      </w:tr>
      <w:tr w:rsidR="006E2124" w:rsidTr="00A203C0">
        <w:trPr>
          <w:gridAfter w:val="6"/>
          <w:wAfter w:w="1043" w:type="pct"/>
          <w:trHeight w:val="165"/>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2.2.</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Организация и проведение комплекса дератизационных мероприятий на эпидзначимых объектах (образовательных учреждениях)</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МКУ РЦСО</w:t>
            </w:r>
          </w:p>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руководитель МБОУ «Гимназия»</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Охват подлежащих эпидзначимых объектов дератизационными мероприятиями</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w:t>
            </w:r>
          </w:p>
        </w:tc>
        <w:tc>
          <w:tcPr>
            <w:tcW w:w="3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2014 – 95%</w:t>
            </w:r>
          </w:p>
          <w:p w:rsidR="006E2124" w:rsidRDefault="006E2124" w:rsidP="00A203C0">
            <w:pPr>
              <w:spacing w:after="0" w:line="240" w:lineRule="auto"/>
              <w:jc w:val="center"/>
              <w:rPr>
                <w:rFonts w:eastAsia="Times New Roman"/>
                <w:sz w:val="22"/>
                <w:szCs w:val="22"/>
              </w:rPr>
            </w:pPr>
            <w:r>
              <w:rPr>
                <w:rFonts w:eastAsia="Times New Roman"/>
                <w:sz w:val="22"/>
                <w:szCs w:val="22"/>
              </w:rPr>
              <w:t>2015 – 95%</w:t>
            </w:r>
          </w:p>
          <w:p w:rsidR="006E2124" w:rsidRDefault="006E2124" w:rsidP="00A203C0">
            <w:pPr>
              <w:spacing w:after="0" w:line="240" w:lineRule="auto"/>
              <w:jc w:val="center"/>
              <w:rPr>
                <w:rFonts w:eastAsia="Times New Roman"/>
                <w:sz w:val="22"/>
                <w:szCs w:val="22"/>
              </w:rPr>
            </w:pPr>
            <w:r>
              <w:rPr>
                <w:rFonts w:eastAsia="Times New Roman"/>
                <w:sz w:val="22"/>
                <w:szCs w:val="22"/>
              </w:rPr>
              <w:t>2016 – 95%</w:t>
            </w:r>
          </w:p>
          <w:p w:rsidR="006E2124" w:rsidRDefault="006E2124" w:rsidP="00A203C0">
            <w:pPr>
              <w:spacing w:after="0" w:line="240" w:lineRule="auto"/>
              <w:jc w:val="center"/>
              <w:rPr>
                <w:rFonts w:eastAsia="Times New Roman"/>
                <w:sz w:val="22"/>
                <w:szCs w:val="22"/>
              </w:rPr>
            </w:pPr>
            <w:r>
              <w:rPr>
                <w:rFonts w:eastAsia="Times New Roman"/>
                <w:sz w:val="22"/>
                <w:szCs w:val="22"/>
              </w:rPr>
              <w:t>2017 -95%</w:t>
            </w:r>
          </w:p>
          <w:p w:rsidR="006E2124" w:rsidRDefault="006E2124" w:rsidP="00A203C0">
            <w:pPr>
              <w:spacing w:after="0" w:line="240" w:lineRule="auto"/>
              <w:jc w:val="center"/>
              <w:rPr>
                <w:rFonts w:eastAsia="Times New Roman"/>
                <w:sz w:val="22"/>
                <w:szCs w:val="22"/>
              </w:rPr>
            </w:pPr>
            <w:r>
              <w:rPr>
                <w:rFonts w:eastAsia="Times New Roman"/>
                <w:sz w:val="22"/>
                <w:szCs w:val="22"/>
              </w:rPr>
              <w:t>2018 – 95%</w:t>
            </w:r>
          </w:p>
          <w:p w:rsidR="006E2124" w:rsidRDefault="006E2124" w:rsidP="00A203C0">
            <w:pPr>
              <w:spacing w:after="0" w:line="240" w:lineRule="auto"/>
              <w:jc w:val="center"/>
              <w:rPr>
                <w:rFonts w:eastAsia="Times New Roman"/>
                <w:sz w:val="22"/>
                <w:szCs w:val="22"/>
              </w:rPr>
            </w:pPr>
            <w:r>
              <w:rPr>
                <w:rFonts w:eastAsia="Times New Roman"/>
                <w:sz w:val="22"/>
                <w:szCs w:val="22"/>
              </w:rPr>
              <w:t>2019 – 95%</w:t>
            </w:r>
          </w:p>
          <w:p w:rsidR="006E2124" w:rsidRDefault="006E2124" w:rsidP="00A203C0">
            <w:pPr>
              <w:spacing w:after="0" w:line="240" w:lineRule="auto"/>
              <w:jc w:val="center"/>
              <w:rPr>
                <w:rFonts w:eastAsia="Times New Roman"/>
                <w:sz w:val="22"/>
                <w:szCs w:val="22"/>
                <w:shd w:val="clear" w:color="auto" w:fill="FFFF00"/>
              </w:rPr>
            </w:pPr>
            <w:r>
              <w:rPr>
                <w:rFonts w:eastAsia="Times New Roman"/>
                <w:sz w:val="22"/>
                <w:szCs w:val="22"/>
              </w:rPr>
              <w:t>2020 – 95%</w:t>
            </w:r>
          </w:p>
        </w:tc>
        <w:tc>
          <w:tcPr>
            <w:tcW w:w="294"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right"/>
              <w:rPr>
                <w:rFonts w:eastAsia="Times New Roman"/>
                <w:sz w:val="22"/>
                <w:szCs w:val="22"/>
              </w:rPr>
            </w:pPr>
            <w:r>
              <w:rPr>
                <w:rFonts w:eastAsia="Times New Roman"/>
                <w:sz w:val="22"/>
                <w:szCs w:val="22"/>
              </w:rPr>
              <w:t>630,7</w:t>
            </w: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shd w:val="clear" w:color="auto" w:fill="FFFF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r>
              <w:rPr>
                <w:rFonts w:eastAsia="Times New Roman"/>
                <w:sz w:val="22"/>
                <w:szCs w:val="22"/>
              </w:rPr>
              <w:t>90,1</w:t>
            </w: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lastRenderedPageBreak/>
              <w:t>2.3.</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Развитие инфраструктуры муниципальных образовательных учреждений (текущий ремонт с целью обеспечения выполнения требований и санитарно-бытовых условий)</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 МКУ РЦСО</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Охват подлежащих текущему ремонту объектов образовательных учреждений</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w:t>
            </w:r>
          </w:p>
        </w:tc>
        <w:tc>
          <w:tcPr>
            <w:tcW w:w="3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2014 – 100%</w:t>
            </w:r>
          </w:p>
          <w:p w:rsidR="006E2124" w:rsidRDefault="006E2124" w:rsidP="00A203C0">
            <w:pPr>
              <w:spacing w:after="0" w:line="240" w:lineRule="auto"/>
              <w:jc w:val="center"/>
              <w:rPr>
                <w:rFonts w:eastAsia="Times New Roman"/>
                <w:sz w:val="22"/>
                <w:szCs w:val="22"/>
              </w:rPr>
            </w:pPr>
            <w:r>
              <w:rPr>
                <w:rFonts w:eastAsia="Times New Roman"/>
                <w:sz w:val="22"/>
                <w:szCs w:val="22"/>
              </w:rPr>
              <w:t>2015 – 100%</w:t>
            </w:r>
          </w:p>
          <w:p w:rsidR="006E2124" w:rsidRDefault="006E2124" w:rsidP="00A203C0">
            <w:pPr>
              <w:spacing w:after="0" w:line="240" w:lineRule="auto"/>
              <w:jc w:val="center"/>
              <w:rPr>
                <w:rFonts w:eastAsia="Times New Roman"/>
                <w:sz w:val="22"/>
                <w:szCs w:val="22"/>
              </w:rPr>
            </w:pPr>
            <w:r>
              <w:rPr>
                <w:rFonts w:eastAsia="Times New Roman"/>
                <w:sz w:val="22"/>
                <w:szCs w:val="22"/>
              </w:rPr>
              <w:t>2016 – 100%</w:t>
            </w:r>
          </w:p>
          <w:p w:rsidR="006E2124" w:rsidRDefault="006E2124" w:rsidP="00A203C0">
            <w:pPr>
              <w:spacing w:after="0" w:line="240" w:lineRule="auto"/>
              <w:jc w:val="center"/>
              <w:rPr>
                <w:rFonts w:eastAsia="Times New Roman"/>
                <w:sz w:val="22"/>
                <w:szCs w:val="22"/>
              </w:rPr>
            </w:pPr>
            <w:r>
              <w:rPr>
                <w:rFonts w:eastAsia="Times New Roman"/>
                <w:sz w:val="22"/>
                <w:szCs w:val="22"/>
              </w:rPr>
              <w:t>2017 – 100%</w:t>
            </w:r>
          </w:p>
          <w:p w:rsidR="006E2124" w:rsidRDefault="006E2124" w:rsidP="00A203C0">
            <w:pPr>
              <w:spacing w:after="0" w:line="240" w:lineRule="auto"/>
              <w:jc w:val="center"/>
              <w:rPr>
                <w:rFonts w:eastAsia="Times New Roman"/>
                <w:sz w:val="22"/>
                <w:szCs w:val="22"/>
              </w:rPr>
            </w:pPr>
            <w:r>
              <w:rPr>
                <w:rFonts w:eastAsia="Times New Roman"/>
                <w:sz w:val="22"/>
                <w:szCs w:val="22"/>
              </w:rPr>
              <w:t>2018 – 100%</w:t>
            </w:r>
          </w:p>
          <w:p w:rsidR="006E2124" w:rsidRDefault="006E2124" w:rsidP="00A203C0">
            <w:pPr>
              <w:spacing w:after="0" w:line="240" w:lineRule="auto"/>
              <w:jc w:val="center"/>
              <w:rPr>
                <w:rFonts w:eastAsia="Times New Roman"/>
                <w:sz w:val="22"/>
                <w:szCs w:val="22"/>
              </w:rPr>
            </w:pPr>
            <w:r>
              <w:rPr>
                <w:rFonts w:eastAsia="Times New Roman"/>
                <w:sz w:val="22"/>
                <w:szCs w:val="22"/>
              </w:rPr>
              <w:t>2019 – 100%</w:t>
            </w:r>
          </w:p>
          <w:p w:rsidR="006E2124" w:rsidRDefault="006E2124" w:rsidP="00A203C0">
            <w:pPr>
              <w:spacing w:after="0" w:line="240" w:lineRule="auto"/>
              <w:jc w:val="center"/>
              <w:rPr>
                <w:rFonts w:eastAsia="Times New Roman"/>
                <w:sz w:val="22"/>
                <w:szCs w:val="22"/>
              </w:rPr>
            </w:pPr>
            <w:r>
              <w:rPr>
                <w:rFonts w:eastAsia="Times New Roman"/>
                <w:sz w:val="22"/>
                <w:szCs w:val="22"/>
              </w:rPr>
              <w:t>2020 – 100%</w:t>
            </w: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both"/>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2.4.</w:t>
            </w:r>
          </w:p>
        </w:tc>
        <w:tc>
          <w:tcPr>
            <w:tcW w:w="67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sz w:val="22"/>
                <w:szCs w:val="22"/>
              </w:rPr>
              <w:t>Обеспечение условий для осуществление подвоза обучающихся</w:t>
            </w: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Руководители образовательных учреждений, МКУ РЦСО</w:t>
            </w:r>
          </w:p>
        </w:tc>
        <w:tc>
          <w:tcPr>
            <w:tcW w:w="53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Доля транспортных средств, осуществляющих подвоз детей</w:t>
            </w:r>
          </w:p>
        </w:tc>
        <w:tc>
          <w:tcPr>
            <w:tcW w:w="266"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center"/>
              <w:rPr>
                <w:rFonts w:eastAsia="Times New Roman"/>
                <w:sz w:val="22"/>
                <w:szCs w:val="22"/>
              </w:rPr>
            </w:pPr>
            <w:r>
              <w:rPr>
                <w:rFonts w:eastAsia="Times New Roman"/>
                <w:sz w:val="22"/>
                <w:szCs w:val="22"/>
              </w:rPr>
              <w:t>%</w:t>
            </w: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r>
              <w:rPr>
                <w:rFonts w:eastAsia="Times New Roman"/>
                <w:sz w:val="22"/>
                <w:szCs w:val="22"/>
              </w:rPr>
              <w:t>2014 – 100%</w:t>
            </w:r>
          </w:p>
          <w:p w:rsidR="006E2124" w:rsidRDefault="006E2124" w:rsidP="00A203C0">
            <w:pPr>
              <w:spacing w:after="0" w:line="240" w:lineRule="auto"/>
              <w:jc w:val="center"/>
              <w:rPr>
                <w:rFonts w:eastAsia="Times New Roman"/>
                <w:sz w:val="22"/>
                <w:szCs w:val="22"/>
              </w:rPr>
            </w:pPr>
            <w:r>
              <w:rPr>
                <w:rFonts w:eastAsia="Times New Roman"/>
                <w:sz w:val="22"/>
                <w:szCs w:val="22"/>
              </w:rPr>
              <w:t>2015 – 100%</w:t>
            </w:r>
          </w:p>
          <w:p w:rsidR="006E2124" w:rsidRDefault="006E2124" w:rsidP="00A203C0">
            <w:pPr>
              <w:spacing w:after="0" w:line="240" w:lineRule="auto"/>
              <w:jc w:val="center"/>
              <w:rPr>
                <w:rFonts w:eastAsia="Times New Roman"/>
                <w:sz w:val="22"/>
                <w:szCs w:val="22"/>
              </w:rPr>
            </w:pPr>
            <w:r>
              <w:rPr>
                <w:rFonts w:eastAsia="Times New Roman"/>
                <w:sz w:val="22"/>
                <w:szCs w:val="22"/>
              </w:rPr>
              <w:t>2016 – 100%</w:t>
            </w:r>
          </w:p>
          <w:p w:rsidR="006E2124" w:rsidRDefault="006E2124" w:rsidP="00A203C0">
            <w:pPr>
              <w:spacing w:after="0" w:line="240" w:lineRule="auto"/>
              <w:jc w:val="center"/>
              <w:rPr>
                <w:rFonts w:eastAsia="Times New Roman"/>
                <w:sz w:val="22"/>
                <w:szCs w:val="22"/>
              </w:rPr>
            </w:pPr>
            <w:r>
              <w:rPr>
                <w:rFonts w:eastAsia="Times New Roman"/>
                <w:sz w:val="22"/>
                <w:szCs w:val="22"/>
              </w:rPr>
              <w:t>2017 – 100%</w:t>
            </w:r>
          </w:p>
          <w:p w:rsidR="006E2124" w:rsidRDefault="006E2124" w:rsidP="00A203C0">
            <w:pPr>
              <w:spacing w:after="0" w:line="240" w:lineRule="auto"/>
              <w:jc w:val="center"/>
              <w:rPr>
                <w:rFonts w:eastAsia="Times New Roman"/>
                <w:sz w:val="22"/>
                <w:szCs w:val="22"/>
              </w:rPr>
            </w:pPr>
            <w:r>
              <w:rPr>
                <w:rFonts w:eastAsia="Times New Roman"/>
                <w:sz w:val="22"/>
                <w:szCs w:val="22"/>
              </w:rPr>
              <w:t>2018 – 100%</w:t>
            </w:r>
          </w:p>
          <w:p w:rsidR="006E2124" w:rsidRDefault="006E2124" w:rsidP="00A203C0">
            <w:pPr>
              <w:spacing w:after="0" w:line="240" w:lineRule="auto"/>
              <w:jc w:val="center"/>
              <w:rPr>
                <w:rFonts w:eastAsia="Times New Roman"/>
                <w:sz w:val="22"/>
                <w:szCs w:val="22"/>
              </w:rPr>
            </w:pPr>
            <w:r>
              <w:rPr>
                <w:rFonts w:eastAsia="Times New Roman"/>
                <w:sz w:val="22"/>
                <w:szCs w:val="22"/>
              </w:rPr>
              <w:t>2019 – 100%</w:t>
            </w:r>
          </w:p>
          <w:p w:rsidR="006E2124" w:rsidRDefault="006E2124" w:rsidP="00A203C0">
            <w:pPr>
              <w:spacing w:after="0" w:line="240" w:lineRule="auto"/>
              <w:jc w:val="center"/>
              <w:rPr>
                <w:rFonts w:eastAsia="Times New Roman"/>
                <w:sz w:val="22"/>
                <w:szCs w:val="22"/>
              </w:rPr>
            </w:pPr>
            <w:r>
              <w:rPr>
                <w:rFonts w:eastAsia="Times New Roman"/>
                <w:sz w:val="22"/>
                <w:szCs w:val="22"/>
              </w:rPr>
              <w:t>2020 – 100%</w:t>
            </w:r>
          </w:p>
          <w:p w:rsidR="006E2124" w:rsidRDefault="006E2124" w:rsidP="00A203C0">
            <w:pPr>
              <w:spacing w:after="0" w:line="240" w:lineRule="auto"/>
              <w:jc w:val="center"/>
              <w:rPr>
                <w:rFonts w:eastAsia="Times New Roman"/>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both"/>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141"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2.5.</w:t>
            </w:r>
          </w:p>
        </w:tc>
        <w:tc>
          <w:tcPr>
            <w:tcW w:w="676"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tabs>
                <w:tab w:val="left" w:pos="1020"/>
              </w:tabs>
              <w:spacing w:after="0" w:line="240" w:lineRule="auto"/>
              <w:jc w:val="both"/>
              <w:rPr>
                <w:sz w:val="22"/>
                <w:szCs w:val="22"/>
              </w:rPr>
            </w:pPr>
            <w:r>
              <w:rPr>
                <w:sz w:val="22"/>
                <w:szCs w:val="22"/>
              </w:rPr>
              <w:t xml:space="preserve">«Реализация прочих мероприятий в рамках подпрограммы. Осуществление расходов на приобретение (изготовление) </w:t>
            </w:r>
            <w:r>
              <w:rPr>
                <w:sz w:val="22"/>
                <w:szCs w:val="22"/>
              </w:rPr>
              <w:lastRenderedPageBreak/>
              <w:t>бланков»</w:t>
            </w:r>
          </w:p>
          <w:p w:rsidR="006E2124" w:rsidRDefault="006E2124" w:rsidP="00A203C0">
            <w:pPr>
              <w:spacing w:after="0" w:line="240" w:lineRule="auto"/>
              <w:jc w:val="both"/>
              <w:rPr>
                <w:sz w:val="22"/>
                <w:szCs w:val="22"/>
              </w:rPr>
            </w:pPr>
          </w:p>
        </w:tc>
        <w:tc>
          <w:tcPr>
            <w:tcW w:w="590"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pacing w:after="0" w:line="240" w:lineRule="auto"/>
              <w:jc w:val="both"/>
              <w:rPr>
                <w:rFonts w:eastAsia="Times New Roman"/>
                <w:sz w:val="22"/>
                <w:szCs w:val="22"/>
              </w:rPr>
            </w:pPr>
            <w:r>
              <w:rPr>
                <w:rFonts w:eastAsia="Times New Roman"/>
                <w:sz w:val="22"/>
                <w:szCs w:val="22"/>
              </w:rPr>
              <w:lastRenderedPageBreak/>
              <w:t xml:space="preserve">Руководители  МБОУ СОШ №1 (с углубленным изучением отдельных предметов), МБОУ СОШ №2 им. </w:t>
            </w:r>
            <w:r>
              <w:rPr>
                <w:rFonts w:eastAsia="Times New Roman"/>
                <w:sz w:val="22"/>
                <w:szCs w:val="22"/>
              </w:rPr>
              <w:lastRenderedPageBreak/>
              <w:t>Н.И.Бореева, МБОУ СОШ №3 МБОУ «Гимназия»</w:t>
            </w:r>
          </w:p>
        </w:tc>
        <w:tc>
          <w:tcPr>
            <w:tcW w:w="53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p>
        </w:tc>
        <w:tc>
          <w:tcPr>
            <w:tcW w:w="266"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p>
        </w:tc>
        <w:tc>
          <w:tcPr>
            <w:tcW w:w="341" w:type="pct"/>
            <w:vMerge w:val="restart"/>
            <w:tcBorders>
              <w:top w:val="single" w:sz="4" w:space="0" w:color="auto"/>
              <w:left w:val="single" w:sz="4" w:space="0" w:color="auto"/>
              <w:bottom w:val="single" w:sz="4" w:space="0" w:color="auto"/>
              <w:right w:val="single" w:sz="4" w:space="0" w:color="auto"/>
            </w:tcBorders>
          </w:tcPr>
          <w:p w:rsidR="006E2124" w:rsidRDefault="006E2124" w:rsidP="00A203C0">
            <w:pPr>
              <w:spacing w:after="0" w:line="240" w:lineRule="auto"/>
              <w:jc w:val="center"/>
              <w:rPr>
                <w:rFonts w:eastAsia="Times New Roman"/>
                <w:sz w:val="22"/>
                <w:szCs w:val="22"/>
              </w:rPr>
            </w:pPr>
          </w:p>
        </w:tc>
        <w:tc>
          <w:tcPr>
            <w:tcW w:w="294" w:type="pct"/>
            <w:vMerge w:val="restart"/>
            <w:tcBorders>
              <w:top w:val="single" w:sz="4" w:space="0" w:color="auto"/>
              <w:left w:val="single" w:sz="4" w:space="0" w:color="auto"/>
              <w:bottom w:val="single" w:sz="4" w:space="0" w:color="auto"/>
              <w:right w:val="single" w:sz="4" w:space="0" w:color="auto"/>
            </w:tcBorders>
            <w:hideMark/>
          </w:tcPr>
          <w:p w:rsidR="006E2124" w:rsidRDefault="006E2124" w:rsidP="00A203C0">
            <w:pPr>
              <w:snapToGrid w:val="0"/>
              <w:spacing w:after="0" w:line="240" w:lineRule="auto"/>
              <w:jc w:val="center"/>
              <w:rPr>
                <w:rFonts w:eastAsia="Times New Roman"/>
                <w:sz w:val="22"/>
                <w:szCs w:val="22"/>
              </w:rPr>
            </w:pPr>
            <w:r>
              <w:rPr>
                <w:rFonts w:eastAsia="Times New Roman"/>
                <w:sz w:val="22"/>
                <w:szCs w:val="22"/>
              </w:rPr>
              <w:t>76,6</w:t>
            </w: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2014</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center"/>
              <w:rPr>
                <w:sz w:val="22"/>
                <w:szCs w:val="22"/>
              </w:rPr>
            </w:pPr>
            <w:r>
              <w:rPr>
                <w:sz w:val="22"/>
                <w:szCs w:val="22"/>
              </w:rPr>
              <w:t>76,6</w:t>
            </w: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2015</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2016</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2017</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2018</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2019</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A203C0">
        <w:trPr>
          <w:gridAfter w:val="6"/>
          <w:wAfter w:w="1043" w:type="pc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24" w:rsidRDefault="006E2124" w:rsidP="00A203C0">
            <w:pPr>
              <w:suppressAutoHyphens w:val="0"/>
              <w:spacing w:after="0" w:line="240" w:lineRule="auto"/>
              <w:rPr>
                <w:rFonts w:eastAsia="Times New Roman"/>
                <w:sz w:val="22"/>
                <w:szCs w:val="22"/>
              </w:rPr>
            </w:pPr>
          </w:p>
        </w:tc>
        <w:tc>
          <w:tcPr>
            <w:tcW w:w="175"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napToGrid w:val="0"/>
              <w:spacing w:after="0" w:line="240" w:lineRule="auto"/>
              <w:jc w:val="center"/>
              <w:rPr>
                <w:sz w:val="22"/>
                <w:szCs w:val="22"/>
              </w:rPr>
            </w:pPr>
            <w:r>
              <w:rPr>
                <w:sz w:val="22"/>
                <w:szCs w:val="22"/>
              </w:rPr>
              <w:t>2020</w:t>
            </w:r>
          </w:p>
        </w:tc>
        <w:tc>
          <w:tcPr>
            <w:tcW w:w="18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c>
          <w:tcPr>
            <w:tcW w:w="173"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pacing w:after="0" w:line="240" w:lineRule="auto"/>
              <w:jc w:val="center"/>
              <w:rPr>
                <w:sz w:val="22"/>
                <w:szCs w:val="22"/>
              </w:rPr>
            </w:pPr>
          </w:p>
        </w:tc>
      </w:tr>
      <w:tr w:rsidR="006E2124" w:rsidTr="002C2910">
        <w:trPr>
          <w:gridAfter w:val="6"/>
          <w:wAfter w:w="1043" w:type="pct"/>
          <w:trHeight w:val="895"/>
        </w:trPr>
        <w:tc>
          <w:tcPr>
            <w:tcW w:w="141"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676" w:type="pct"/>
            <w:tcBorders>
              <w:top w:val="single" w:sz="4" w:space="0" w:color="auto"/>
              <w:left w:val="single" w:sz="4" w:space="0" w:color="auto"/>
              <w:bottom w:val="single" w:sz="4" w:space="0" w:color="auto"/>
              <w:right w:val="single" w:sz="4" w:space="0" w:color="auto"/>
            </w:tcBorders>
            <w:hideMark/>
          </w:tcPr>
          <w:p w:rsidR="006E2124" w:rsidRDefault="006E2124" w:rsidP="00A203C0">
            <w:pPr>
              <w:autoSpaceDE w:val="0"/>
              <w:spacing w:after="0" w:line="240" w:lineRule="auto"/>
              <w:jc w:val="both"/>
              <w:rPr>
                <w:sz w:val="22"/>
                <w:szCs w:val="22"/>
              </w:rPr>
            </w:pPr>
            <w:r>
              <w:rPr>
                <w:b/>
                <w:sz w:val="22"/>
                <w:szCs w:val="22"/>
              </w:rPr>
              <w:t>Итого по Подпрограмме</w:t>
            </w:r>
          </w:p>
        </w:tc>
        <w:tc>
          <w:tcPr>
            <w:tcW w:w="590"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531"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6E2124" w:rsidRDefault="006E2124" w:rsidP="00A203C0">
            <w:pPr>
              <w:autoSpaceDE w:val="0"/>
              <w:snapToGrid w:val="0"/>
              <w:spacing w:after="0" w:line="240" w:lineRule="auto"/>
              <w:jc w:val="center"/>
              <w:rPr>
                <w:sz w:val="22"/>
                <w:szCs w:val="22"/>
              </w:rPr>
            </w:pPr>
          </w:p>
        </w:tc>
        <w:tc>
          <w:tcPr>
            <w:tcW w:w="341" w:type="pct"/>
            <w:tcBorders>
              <w:top w:val="single" w:sz="4" w:space="0" w:color="auto"/>
              <w:left w:val="single" w:sz="4" w:space="0" w:color="auto"/>
              <w:bottom w:val="single" w:sz="4" w:space="0" w:color="auto"/>
              <w:right w:val="single" w:sz="4" w:space="0" w:color="auto"/>
            </w:tcBorders>
          </w:tcPr>
          <w:p w:rsidR="006E2124" w:rsidRPr="00647D4C" w:rsidRDefault="006E2124" w:rsidP="00A203C0">
            <w:pPr>
              <w:autoSpaceDE w:val="0"/>
              <w:snapToGrid w:val="0"/>
              <w:spacing w:after="0" w:line="240" w:lineRule="auto"/>
              <w:jc w:val="center"/>
              <w:rPr>
                <w:sz w:val="22"/>
                <w:szCs w:val="22"/>
              </w:rPr>
            </w:pPr>
          </w:p>
        </w:tc>
        <w:tc>
          <w:tcPr>
            <w:tcW w:w="294" w:type="pct"/>
            <w:tcBorders>
              <w:top w:val="single" w:sz="4" w:space="0" w:color="auto"/>
              <w:left w:val="single" w:sz="4" w:space="0" w:color="auto"/>
              <w:bottom w:val="single" w:sz="4" w:space="0" w:color="auto"/>
              <w:right w:val="single" w:sz="4" w:space="0" w:color="auto"/>
            </w:tcBorders>
            <w:hideMark/>
          </w:tcPr>
          <w:p w:rsidR="006E2124" w:rsidRPr="00647D4C" w:rsidRDefault="006E2124" w:rsidP="001428D5">
            <w:pPr>
              <w:autoSpaceDE w:val="0"/>
              <w:spacing w:after="0" w:line="240" w:lineRule="auto"/>
              <w:rPr>
                <w:rFonts w:eastAsia="Times New Roman"/>
                <w:sz w:val="22"/>
                <w:szCs w:val="22"/>
              </w:rPr>
            </w:pPr>
          </w:p>
          <w:p w:rsidR="006E2124" w:rsidRPr="00647D4C" w:rsidRDefault="006E2124" w:rsidP="00A203C0">
            <w:pPr>
              <w:autoSpaceDE w:val="0"/>
              <w:spacing w:after="0" w:line="240" w:lineRule="auto"/>
              <w:jc w:val="center"/>
              <w:rPr>
                <w:sz w:val="22"/>
                <w:szCs w:val="22"/>
              </w:rPr>
            </w:pPr>
            <w:r w:rsidRPr="00647D4C">
              <w:rPr>
                <w:rFonts w:eastAsia="Times New Roman"/>
                <w:sz w:val="22"/>
                <w:szCs w:val="22"/>
              </w:rPr>
              <w:t>126 089,0</w:t>
            </w:r>
          </w:p>
        </w:tc>
        <w:tc>
          <w:tcPr>
            <w:tcW w:w="175" w:type="pct"/>
            <w:tcBorders>
              <w:top w:val="single" w:sz="4" w:space="0" w:color="auto"/>
              <w:left w:val="single" w:sz="4" w:space="0" w:color="auto"/>
              <w:right w:val="single" w:sz="4" w:space="0" w:color="auto"/>
            </w:tcBorders>
            <w:hideMark/>
          </w:tcPr>
          <w:p w:rsidR="006E2124" w:rsidRPr="00647D4C" w:rsidRDefault="006E2124" w:rsidP="00A203C0">
            <w:pPr>
              <w:autoSpaceDE w:val="0"/>
              <w:spacing w:after="0" w:line="240" w:lineRule="auto"/>
              <w:jc w:val="center"/>
              <w:rPr>
                <w:sz w:val="22"/>
                <w:szCs w:val="22"/>
              </w:rPr>
            </w:pPr>
          </w:p>
        </w:tc>
        <w:tc>
          <w:tcPr>
            <w:tcW w:w="184" w:type="pct"/>
            <w:tcBorders>
              <w:top w:val="single" w:sz="4" w:space="0" w:color="auto"/>
              <w:left w:val="single" w:sz="4" w:space="0" w:color="auto"/>
              <w:right w:val="single" w:sz="4" w:space="0" w:color="auto"/>
            </w:tcBorders>
          </w:tcPr>
          <w:p w:rsidR="006E2124" w:rsidRPr="00647D4C" w:rsidRDefault="006E2124" w:rsidP="00A203C0">
            <w:pPr>
              <w:snapToGrid w:val="0"/>
              <w:spacing w:after="0" w:line="240" w:lineRule="auto"/>
              <w:rPr>
                <w:rFonts w:eastAsia="Times New Roman"/>
                <w:sz w:val="22"/>
                <w:szCs w:val="22"/>
              </w:rPr>
            </w:pPr>
          </w:p>
        </w:tc>
        <w:tc>
          <w:tcPr>
            <w:tcW w:w="292" w:type="pct"/>
            <w:tcBorders>
              <w:top w:val="single" w:sz="4" w:space="0" w:color="auto"/>
              <w:left w:val="single" w:sz="4" w:space="0" w:color="auto"/>
              <w:right w:val="single" w:sz="4" w:space="0" w:color="auto"/>
            </w:tcBorders>
            <w:hideMark/>
          </w:tcPr>
          <w:p w:rsidR="006E2124" w:rsidRPr="00647D4C" w:rsidRDefault="006E2124" w:rsidP="00A203C0">
            <w:pPr>
              <w:snapToGrid w:val="0"/>
              <w:spacing w:after="0" w:line="240" w:lineRule="auto"/>
              <w:rPr>
                <w:rFonts w:eastAsia="Times New Roman"/>
                <w:sz w:val="22"/>
                <w:szCs w:val="22"/>
              </w:rPr>
            </w:pPr>
          </w:p>
          <w:p w:rsidR="006E2124" w:rsidRPr="00647D4C" w:rsidRDefault="006E2124" w:rsidP="00A203C0">
            <w:pPr>
              <w:snapToGrid w:val="0"/>
              <w:spacing w:after="0" w:line="240" w:lineRule="auto"/>
              <w:rPr>
                <w:rFonts w:eastAsia="Times New Roman"/>
                <w:sz w:val="22"/>
                <w:szCs w:val="22"/>
              </w:rPr>
            </w:pPr>
            <w:r w:rsidRPr="00647D4C">
              <w:rPr>
                <w:rFonts w:eastAsia="Times New Roman"/>
                <w:sz w:val="22"/>
                <w:szCs w:val="22"/>
              </w:rPr>
              <w:t>91589,9</w:t>
            </w:r>
          </w:p>
        </w:tc>
        <w:tc>
          <w:tcPr>
            <w:tcW w:w="294" w:type="pct"/>
            <w:tcBorders>
              <w:top w:val="single" w:sz="4" w:space="0" w:color="auto"/>
              <w:left w:val="single" w:sz="4" w:space="0" w:color="auto"/>
              <w:right w:val="single" w:sz="4" w:space="0" w:color="auto"/>
            </w:tcBorders>
            <w:hideMark/>
          </w:tcPr>
          <w:p w:rsidR="002C2910" w:rsidRDefault="002C2910" w:rsidP="00A203C0">
            <w:pPr>
              <w:spacing w:after="0" w:line="240" w:lineRule="auto"/>
              <w:rPr>
                <w:rFonts w:eastAsia="Times New Roman"/>
                <w:sz w:val="22"/>
                <w:szCs w:val="22"/>
              </w:rPr>
            </w:pPr>
          </w:p>
          <w:p w:rsidR="006E2124" w:rsidRDefault="006E2124" w:rsidP="00A203C0">
            <w:pPr>
              <w:spacing w:after="0" w:line="240" w:lineRule="auto"/>
              <w:rPr>
                <w:rFonts w:eastAsia="Times New Roman"/>
                <w:sz w:val="22"/>
                <w:szCs w:val="22"/>
              </w:rPr>
            </w:pPr>
            <w:r>
              <w:rPr>
                <w:rFonts w:eastAsia="Times New Roman"/>
                <w:sz w:val="22"/>
                <w:szCs w:val="22"/>
              </w:rPr>
              <w:t>34499,1</w:t>
            </w:r>
          </w:p>
        </w:tc>
        <w:tc>
          <w:tcPr>
            <w:tcW w:w="173" w:type="pct"/>
            <w:tcBorders>
              <w:top w:val="single" w:sz="4" w:space="0" w:color="auto"/>
              <w:left w:val="single" w:sz="4" w:space="0" w:color="auto"/>
              <w:right w:val="single" w:sz="4" w:space="0" w:color="auto"/>
            </w:tcBorders>
          </w:tcPr>
          <w:p w:rsidR="006E2124" w:rsidRDefault="006E2124" w:rsidP="00A203C0">
            <w:pPr>
              <w:snapToGrid w:val="0"/>
              <w:spacing w:after="0" w:line="240" w:lineRule="auto"/>
              <w:rPr>
                <w:rFonts w:eastAsia="Times New Roman"/>
                <w:sz w:val="22"/>
                <w:szCs w:val="22"/>
              </w:rPr>
            </w:pPr>
          </w:p>
        </w:tc>
      </w:tr>
    </w:tbl>
    <w:p w:rsidR="006E2124" w:rsidRDefault="006E2124" w:rsidP="006E2124">
      <w:pPr>
        <w:spacing w:after="0" w:line="200" w:lineRule="atLeast"/>
        <w:ind w:left="360"/>
        <w:jc w:val="center"/>
        <w:rPr>
          <w:b/>
        </w:rPr>
      </w:pPr>
    </w:p>
    <w:p w:rsidR="006E2124" w:rsidRDefault="006E2124" w:rsidP="006E2124">
      <w:pPr>
        <w:spacing w:after="0" w:line="200" w:lineRule="atLeast"/>
        <w:ind w:left="360"/>
        <w:jc w:val="center"/>
        <w:rPr>
          <w:b/>
        </w:rPr>
      </w:pPr>
    </w:p>
    <w:p w:rsidR="0087023E" w:rsidRDefault="0087023E"/>
    <w:sectPr w:rsidR="0087023E" w:rsidSect="006E21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E2124"/>
    <w:rsid w:val="00112690"/>
    <w:rsid w:val="001428D5"/>
    <w:rsid w:val="001E27A0"/>
    <w:rsid w:val="002C2910"/>
    <w:rsid w:val="004A0066"/>
    <w:rsid w:val="005E3C22"/>
    <w:rsid w:val="00647D4C"/>
    <w:rsid w:val="006E2124"/>
    <w:rsid w:val="00826FA1"/>
    <w:rsid w:val="00857827"/>
    <w:rsid w:val="00864FDA"/>
    <w:rsid w:val="0087023E"/>
    <w:rsid w:val="008973E6"/>
    <w:rsid w:val="009609D6"/>
    <w:rsid w:val="00AC00AC"/>
    <w:rsid w:val="00C67DBB"/>
    <w:rsid w:val="00E169E0"/>
    <w:rsid w:val="00F0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24"/>
    <w:pPr>
      <w:suppressAutoHyphens/>
    </w:pPr>
    <w:rPr>
      <w:rFonts w:ascii="Times New Roman" w:eastAsia="Calibri" w:hAnsi="Times New Roman" w:cs="Times New Roman"/>
      <w:sz w:val="28"/>
      <w:szCs w:val="28"/>
      <w:lang w:eastAsia="zh-CN"/>
    </w:rPr>
  </w:style>
  <w:style w:type="paragraph" w:styleId="1">
    <w:name w:val="heading 1"/>
    <w:basedOn w:val="a"/>
    <w:next w:val="a"/>
    <w:link w:val="10"/>
    <w:qFormat/>
    <w:rsid w:val="00864FDA"/>
    <w:pPr>
      <w:widowControl w:val="0"/>
      <w:tabs>
        <w:tab w:val="num" w:pos="432"/>
      </w:tabs>
      <w:autoSpaceDE w:val="0"/>
      <w:spacing w:before="108" w:after="108" w:line="240" w:lineRule="auto"/>
      <w:ind w:left="432" w:hanging="432"/>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6E2124"/>
    <w:pPr>
      <w:widowControl w:val="0"/>
      <w:autoSpaceDE w:val="0"/>
      <w:spacing w:after="0" w:line="240" w:lineRule="auto"/>
    </w:pPr>
    <w:rPr>
      <w:rFonts w:ascii="Arial" w:eastAsia="Times New Roman" w:hAnsi="Arial" w:cs="Arial"/>
      <w:sz w:val="24"/>
      <w:szCs w:val="24"/>
    </w:rPr>
  </w:style>
  <w:style w:type="character" w:customStyle="1" w:styleId="10">
    <w:name w:val="Заголовок 1 Знак"/>
    <w:basedOn w:val="a0"/>
    <w:link w:val="1"/>
    <w:rsid w:val="00864FDA"/>
    <w:rPr>
      <w:rFonts w:ascii="Arial" w:eastAsia="Times New Roman" w:hAnsi="Arial" w:cs="Arial"/>
      <w:b/>
      <w:bCs/>
      <w:color w:val="26282F"/>
      <w:sz w:val="24"/>
      <w:szCs w:val="24"/>
      <w:lang w:eastAsia="zh-CN"/>
    </w:rPr>
  </w:style>
</w:styles>
</file>

<file path=word/webSettings.xml><?xml version="1.0" encoding="utf-8"?>
<w:webSettings xmlns:r="http://schemas.openxmlformats.org/officeDocument/2006/relationships" xmlns:w="http://schemas.openxmlformats.org/wordprocessingml/2006/main">
  <w:divs>
    <w:div w:id="1459488095">
      <w:bodyDiv w:val="1"/>
      <w:marLeft w:val="0"/>
      <w:marRight w:val="0"/>
      <w:marTop w:val="0"/>
      <w:marBottom w:val="0"/>
      <w:divBdr>
        <w:top w:val="none" w:sz="0" w:space="0" w:color="auto"/>
        <w:left w:val="none" w:sz="0" w:space="0" w:color="auto"/>
        <w:bottom w:val="none" w:sz="0" w:space="0" w:color="auto"/>
        <w:right w:val="none" w:sz="0" w:space="0" w:color="auto"/>
      </w:divBdr>
    </w:div>
    <w:div w:id="1593666961">
      <w:bodyDiv w:val="1"/>
      <w:marLeft w:val="0"/>
      <w:marRight w:val="0"/>
      <w:marTop w:val="0"/>
      <w:marBottom w:val="0"/>
      <w:divBdr>
        <w:top w:val="none" w:sz="0" w:space="0" w:color="auto"/>
        <w:left w:val="none" w:sz="0" w:space="0" w:color="auto"/>
        <w:bottom w:val="none" w:sz="0" w:space="0" w:color="auto"/>
        <w:right w:val="none" w:sz="0" w:space="0" w:color="auto"/>
      </w:divBdr>
    </w:div>
    <w:div w:id="17886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2014-11-07T07:31:00Z</dcterms:created>
  <dcterms:modified xsi:type="dcterms:W3CDTF">2014-11-17T10:55:00Z</dcterms:modified>
</cp:coreProperties>
</file>