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>Экземпляр №  ______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8"/>
        </w:rPr>
        <w:t>Выборы депутатов Тамбовской областной Думы восьмого созыва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>20 сентября 2026 года</w:t>
        <w:cr/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32"/>
        </w:rPr>
        <w:t>ПРОТОКОЛ № 1</w:t>
      </w:r>
    </w:p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>окружной избирательной комиссии о результатах выборов</w:t>
        <w:br/>
        <w:t>по Бондарскому одномандатному избирательному округу № 2</w:t>
        <w:cr/>
      </w:r>
    </w:p>
    <w:tbl>
      <w:tblPr>
        <w:tblW w:w="5000" w:type="pct"/>
        <w:jc w:val="center"/>
      </w:tblP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территориальных избирательных комиссий на территории одномандатного избирательного округа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</w:t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протоколов территориальных избирательных комиссий об итогах голосования, на основании которых составлен настоящий протокол окружной избирательной комиссии о результатах выборов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</w:t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  <w:tr>
        <w:trPr>
          <w:cantSplit/>
        </w:trPr>
        <w:tc>
          <w:tcPr>
            <w:tcW w:w="9100" w:type="dxa"/>
            <w:vAlign w:val="bottom"/>
          </w:tcPr>
          <w:p>
            <w:pPr>
              <w:spacing w:before="12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00" w:type="dxa"/>
            <w:vAlign w:val="bottom"/>
          </w:tcPr>
          <w:p>
            <w:pPr>
              <w:spacing w:before="12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0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</w:tblPr>
      <w:tr>
        <w:trPr>
          <w:cantSplit/>
        </w:trPr>
        <w:tc>
          <w:tcPr>
            <w:tcW w:w="10200" w:type="dxa"/>
          </w:tcPr>
          <w:p>
            <w:pPr>
              <w:spacing w:before="0" w:after="0" w:lineRule="auto" w:line="240"/>
              <w:jc w:val="both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br/>
              <w:t>После предварительной проверки правильности составления протоколов территориальных избирательных комиссий об итогах голосования окружная избирательная комиссия путем суммирования данных, содержащихся в указанных протоколах территориальных избирательных комиссий,  о п р е д е л и л а :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8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избирателей, внесенных в список избирателей на момент окончания голосования и обладающих активным избирательным правом в одномандатном избирательном округе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2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3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4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выданных избирателям, проголосовавшим вне помещений для голосования в день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5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погашенных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6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7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8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недействительных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9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действительных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10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утраченных избирательных бюллетеней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11</w:t>
            </w:r>
          </w:p>
        </w:tc>
        <w:tc>
          <w:tcPr>
            <w:tcW w:w="7425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Число избирательных бюллетеней, не учтенных при получении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</w:tr>
    </w:tbl>
    <w:p>
      <w:pPr>
        <w:spacing w:before="0" w:after="0" w:lineRule="exact" w:line="14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4"/>
        </w:rPr>
        <w:t xml:space="preserve"> </w:t>
      </w:r>
    </w:p>
    <w:tbl>
      <w:tblPr>
        <w:tblW w:w="5000" w:type="pct"/>
        <w:jc w:val="center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/>
        </w:trPr>
        <w:tc>
          <w:tcPr>
            <w:tcW w:w="680" w:type="dxa"/>
            <w:hMerge w:val="restart"/>
            <w:v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Фамилии, имена, отчества внесенных в избирательный бюллетень зарегистрированных кандидатов</w:t>
            </w:r>
          </w:p>
        </w:tc>
        <w:tc>
          <w:tcPr>
            <w:tcW w:w="5611" w:type="dxa"/>
            <w:hMerge w:val="continue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Число голосов избирателей, поданных за каждого зарегистрированного кандидата</w:t>
            </w: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1814" w:type="dxa"/>
            <w:hMerge w:val="continue"/>
          </w:tcPr>
          <w:p>
            <w:pPr>
              <w:keepNext w:val="on"/>
              <w:keepLines w:val="on"/>
            </w:pPr>
          </w:p>
        </w:tc>
      </w:tr>
      <w:tr>
        <w:trPr>
          <w:cantSplit/>
        </w:trPr>
        <w:tc>
          <w:tcPr>
            <w:tcW w:w="680" w:type="dxa"/>
            <w:hMerge w:val="restart"/>
            <w:v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5611" w:type="dxa"/>
            <w:hMerge w:val="continue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restart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абсолютное значение</w:t>
            </w: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300" w:type="dxa"/>
            <w:hMerge w:val="continue"/>
            <w:vAlign w:val="center"/>
          </w:tcPr>
          <w:p>
            <w:pPr>
              <w:keepNext w:val="on"/>
              <w:keepLines w:val="on"/>
            </w:pPr>
          </w:p>
        </w:tc>
        <w:tc>
          <w:tcPr>
            <w:tcW w:w="1814" w:type="dxa"/>
            <w:vAlign w:val="center"/>
          </w:tcPr>
          <w:p>
            <w:pPr>
              <w:keepNext w:val="on"/>
              <w:spacing w:before="0" w:after="0" w:lineRule="auto" w:line="240"/>
              <w:jc w:val="center"/>
            </w:pPr>
            <w:pPr>
              <w:keepLines w:val="on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0"/>
              </w:rPr>
              <w:t>в процентах от числа избирателей, принявших участие в голосовании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12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Левашова Елена Сергеевна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12,73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13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Мордвинцев Олег Анатольевич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5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3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7,86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14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Першин Олег Александрович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4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7,68</w:t>
            </w:r>
          </w:p>
        </w:tc>
      </w:tr>
      <w:tr>
        <w:trPr>
          <w:cantSplit/>
          <w:trHeight w:val="566" w:hRule="atLeast"/>
        </w:trPr>
        <w:tc>
          <w:tcPr>
            <w:tcW w:w="68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15</w:t>
            </w:r>
          </w:p>
        </w:tc>
        <w:tc>
          <w:tcPr>
            <w:tcW w:w="5611" w:type="dxa"/>
            <w:vAlign w:val="top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>Плужников Юрий Владимирович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0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1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2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8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9</w:t>
            </w:r>
          </w:p>
        </w:tc>
        <w:tc>
          <w:tcPr>
            <w:tcW w:w="30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</w:t>
            </w:r>
          </w:p>
        </w:tc>
        <w:tc>
          <w:tcPr>
            <w:tcW w:w="1814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32"/>
              </w:rPr>
              <w:t>69,79</w:t>
            </w:r>
          </w:p>
        </w:tc>
      </w:tr>
    </w:tbl>
    <w:p>
      <w:pPr>
        <w:spacing w:before="0" w:after="0" w:lineRule="auto" w:line="240"/>
        <w:jc w:val="left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 xml:space="preserve"> </w:t>
      </w:r>
    </w:p>
    <w:p>
      <w:pPr>
        <w:spacing w:before="0" w:after="0" w:lineRule="auto" w:line="240"/>
        <w:jc w:val="both"/>
      </w:pPr>
      <w:r>
        <w:rPr>
          <w:rFonts w:ascii="Times New Roman" w:hAnsi="Times New Roman" w:cs="Times New Roman" w:eastAsia="Times New Roman"/>
          <w:b w:val="false"/>
          <w:i w:val="false"/>
          <w:sz w:val="24"/>
        </w:rPr>
        <w:t>В соответствии с частью 7 статьи 75 Закона Тамбовской области "О выборах депутатов Тамбовской областной Думы"</w:t>
        <w:br/>
        <w:t>Плужников Юрий Владимирович</w:t>
        <w:br/>
        <w:t>признан избранным депутатом Тамбовской областной Думы восьмого созыва по Бондарскому одномандатному избирательному округу № 2.</w:t>
      </w:r>
    </w:p>
    <w:p/>
    <w:tbl>
      <w:tblPr>
        <w:tblW w:w="5000" w:type="pct"/>
        <w:jc w:val="center"/>
      </w:tblP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0" w:after="0" w:lineRule="auto" w:line="240"/>
              <w:jc w:val="left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Председатель окружной избирательной комиссии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0" w:after="0" w:lineRule="auto" w:line="240"/>
              <w:ind w:left="100"/>
              <w:jc w:val="left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Тарамышева Л.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  <w:jc w:val="left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  <w:jc w:val="left"/>
            </w:pPr>
          </w:p>
        </w:tc>
      </w:tr>
      <w:tr>
        <w:trPr>
          <w:cantSplit/>
        </w:trPr>
        <w:tc>
          <w:tcPr>
            <w:tcW w:w="2725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2835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(фамилия, инициалы)</w:t>
            </w:r>
          </w:p>
        </w:tc>
        <w:tc>
          <w:tcPr>
            <w:tcW w:w="283" w:type="dxa"/>
            <w:vAlign w:val="top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vAlign w:val="top"/>
          </w:tcPr>
          <w:p>
            <w:pPr>
              <w:spacing w:before="0" w:after="0" w:lineRule="auto" w:line="240"/>
              <w:jc w:val="center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16"/>
              </w:rPr>
              <w:t>(подпись либо причина отсутствия, отметка</w:t>
              <w:br/>
              <w:t>об особом мнении)</w:t>
            </w: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Заместитель председателя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Рудакова О. Ю.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Секретарь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Токарева Н.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  <w:t>Член ИК</w:t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Вольная А. В.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Зайцев А. И.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Мажирин А.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Фокина И. Н.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  <w:tr>
        <w:trPr>
          <w:cantSplit/>
        </w:trPr>
        <w:tc>
          <w:tcPr>
            <w:tcW w:w="2725" w:type="dxa"/>
            <w:vAlign w:val="bottom"/>
          </w:tcPr>
          <w:p>
            <w:pPr>
              <w:spacing w:before="100" w:after="0" w:lineRule="auto" w:line="240"/>
            </w:pPr>
            <w:r>
              <w:rPr>
                <w:rFonts w:ascii="Times New Roman" w:hAnsi="Times New Roman" w:cs="Times New Roman" w:eastAsia="Times New Roman"/>
                <w:b w:val="true"/>
                <w:i w:val="false"/>
                <w:sz w:val="24"/>
              </w:rPr>
            </w:r>
          </w:p>
        </w:tc>
        <w:tc>
          <w:tcPr>
            <w:tcW w:w="2835" w:type="dxa"/>
            <w:tcBorders>
              <w:bottom w:val="single"/>
            </w:tcBorders>
            <w:vAlign w:val="bottom"/>
          </w:tcPr>
          <w:p>
            <w:pPr>
              <w:spacing w:before="100" w:after="0" w:lineRule="auto" w:line="240"/>
              <w:ind w:left="100"/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z w:val="24"/>
              </w:rPr>
              <w:t xml:space="preserve">Харченко О. А. </w:t>
            </w:r>
          </w:p>
        </w:tc>
        <w:tc>
          <w:tcPr>
            <w:tcW w:w="283" w:type="dxa"/>
          </w:tcPr>
          <w:p>
            <w:pPr>
              <w:spacing w:before="0" w:after="0" w:lineRule="auto" w:line="240"/>
            </w:pPr>
          </w:p>
        </w:tc>
        <w:tc>
          <w:tcPr>
            <w:tcW w:w="3470" w:type="dxa"/>
            <w:tcBorders>
              <w:bottom w:val="single"/>
            </w:tcBorders>
          </w:tcPr>
          <w:p>
            <w:pPr>
              <w:spacing w:before="0" w:after="0" w:lineRule="auto" w:line="240"/>
            </w:pPr>
          </w:p>
        </w:tc>
      </w:tr>
    </w:tbl>
    <w:p/>
    <w:p>
      <w:pPr>
        <w:spacing w:before="0" w:after="0" w:lineRule="auto" w:line="240"/>
        <w:jc w:val="center"/>
      </w:pPr>
      <w:r>
        <w:rPr>
          <w:rFonts w:ascii="Times New Roman" w:hAnsi="Times New Roman" w:cs="Times New Roman" w:eastAsia="Times New Roman"/>
          <w:b w:val="true"/>
          <w:i w:val="false"/>
          <w:sz w:val="24"/>
        </w:rPr>
        <w:t xml:space="preserve">          МП          Протокол подписан 21 сентября 2026 года в 5 часов 30 минут</w:t>
      </w:r>
    </w:p>
    <w:sectPr>
      <w:pgSz w:w="11905" w:h="16837"/>
      <w:pgMar w:left="850" w:top="453" w:right="850" w:bottom="45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eastAsia="Times New Roman" w:hAnsi="Times New Roman"/>
      </w:rPr>
    </w:rPrDefault>
    <w:pPrDefault>
      <w:pPr/>
    </w:pPrDefault>
  </w:docDefaults>
</w:styles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2026-09-22T07:40:39Z</dcterms:created>
  <dc:creator>Apache POI</dc:creator>
</cp:coreProperties>
</file>