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23.06.2025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г. Рассказово                                        № </w:t>
      </w:r>
      <w:r>
        <w:rPr>
          <w:rFonts w:cs="Times New Roman" w:ascii="Times New Roman" w:hAnsi="Times New Roman"/>
          <w:sz w:val="28"/>
          <w:szCs w:val="28"/>
        </w:rPr>
        <w:t>1000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утверждении Порядка проведения антикоррупционной экспертизы муниципальных нормативных правовых актов, проектов муниципальных нормативных правовых актов Администрации города Рассказово Тамбовской области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Федеральным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законом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 17.07.2009 №172-ФЗ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»,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Постановлением </w:t>
      </w:r>
      <w:bookmarkStart w:id="0" w:name="__DdeLink__462_330469602"/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Правительства Российской Федерации от 26.02.2010 №96 </w:t>
      </w:r>
      <w:bookmarkEnd w:id="0"/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администрация города постановляет: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Порядок проведения антикоррупционной экспертизы муниципальных нормативных правовых актов, проектов муниципальных нормативных правовых актов Администрации города Рассказово Тамбовской области, согласно приложению.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официальном сайте Администрации города Рассказово Тамбовской области (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g31.tmbreg.ru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) в информационно-телекоммуникационной сети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Интернет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управляющего делами администрации города Тареева А.С.</w:t>
      </w:r>
    </w:p>
    <w:p>
      <w:pPr>
        <w:pStyle w:val="Normal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В.С.Соколова</w:t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ListParagraph"/>
        <w:spacing w:lineRule="auto" w:line="240" w:before="0" w:after="0"/>
        <w:ind w:left="0" w:firstLine="709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</w:t>
      </w:r>
    </w:p>
    <w:p>
      <w:pPr>
        <w:pStyle w:val="ListParagraph"/>
        <w:spacing w:lineRule="auto" w:line="240" w:before="0" w:after="0"/>
        <w:ind w:left="0" w:firstLine="709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 города</w:t>
      </w:r>
    </w:p>
    <w:p>
      <w:pPr>
        <w:pStyle w:val="ListParagraph"/>
        <w:spacing w:lineRule="auto" w:line="240" w:before="0" w:after="0"/>
        <w:ind w:left="0"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____________________№__________</w:t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Порядок </w:t>
      </w:r>
    </w:p>
    <w:p>
      <w:pPr>
        <w:pStyle w:val="ListParagraph"/>
        <w:spacing w:lineRule="auto" w:line="240" w:before="0" w:after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проведения антикоррупционной экспертизы муниципальных нормативных правовых актов, проектов муниципальных нормативных правовых актов Администрации города Рассказово Тамбовской области</w:t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Source Han Sans CN Regular;Times New Roman" w:cs="PT Astra Serif" w:ascii="Times New Roman" w:hAnsi="Times New Roman"/>
          <w:kern w:val="2"/>
          <w:sz w:val="28"/>
          <w:szCs w:val="28"/>
          <w:lang w:eastAsia="ru-RU"/>
        </w:rPr>
        <w:tab/>
        <w:tab/>
        <w:t xml:space="preserve">1. Настоящий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 xml:space="preserve">Порядок проведения антикоррупционной экспертизы муниципальных нормативных правовых актов, проектов муниципальных нормативных правовых актов Администрации города Рассказово Тамбовской области (далее - Порядок) распространяется на постановления и распоряжения администрации города (проекты постановлений и распоряжений администрации города), имеющие свойства нормативного правового акта, в том числе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устанавливающие правовой статус организаций, учредителем которых выступает город Рассказово.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 xml:space="preserve">Настоящий Порядок не распространяется на проекты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 xml:space="preserve">постановлений  администрации города, которыми утверждаются административные регламенты предоставления муниципальных услуг, проекты  постановлений  администрации города о внесении изменений в  </w:t>
      </w:r>
      <w:bookmarkStart w:id="1" w:name="__DdeLink__152_2104831356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административные регламенты предоставления муниципальных услуг</w:t>
      </w:r>
      <w:bookmarkEnd w:id="1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, проекты  постановлений  администрации города о признании утратившими силу  административных регламентов предоставления муниципальных услуг.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>2. Для целей настоящего Порядка, под муниципальным нормативным правовым актом понимается муниципальный правовой акт, из числа указанных в пункте 1 настоящего Порядка, направленный на установление, изменение или отмену правовых норм (правил поведения, устанавливающих права и обязанности), имеющий обязательное предписание постоянного или временного характера, рассчитанный на многократное применение и распространяющий свое действие на неопределенный круг лиц.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 xml:space="preserve">Для целей настоящего Порядка, под муниципальным нормативным  правовым актом,  устанавливающим правовой статус организаций, учредителем которых выступает город Рассказово понимается постановление администрации города об утверждении устава организации, </w:t>
      </w:r>
      <w:bookmarkStart w:id="2" w:name="__DdeLink__140_285639706"/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постановление администрации города об утверждении </w:t>
      </w:r>
      <w:bookmarkEnd w:id="2"/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муниципального задания для муниципального бюджетного либо муниципального автономного учреждения, постановление администрации города об утверждении тарифов на услуги (работы), предоставляемые (выполняемые) организациями (постановление администрации города о внесении изменений в любой из перечисленных документов).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3. Проведение антикоррупционной экспертизы муниципальных нормативных правовых актов, проектов муниципальных нормативных правовых актов (далее соответственно - правовые акты, проекты правовых актов) осуществляется в целях выявления и последующего устранения в  правовых актах, проектах правовых актов коррупциогенных факторов.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Коррупциогенными факторами являются положения правовых актов (проектов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 xml:space="preserve">Проведение антикоррупционной экспертизы правовых актов, проектов  правовых актов осуществляется в соответствии с настоящим Порядком и согласно Методике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 (далее - Методика).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>4. А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нтикоррупционная экспертиза проектов правовых актов осуществляется при проведении их правовой экспертизы правовым отделом администрации города.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 xml:space="preserve">Проведение антикоррупционной </w:t>
      </w:r>
      <w:bookmarkStart w:id="3" w:name="__DdeLink__121_1765015047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экспертизы</w:t>
      </w:r>
      <w:bookmarkEnd w:id="3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 xml:space="preserve"> в соответствии с настоящим пунктом осуществляется в течение 3 рабочих дней, а в случае если объем  проекта правового акта превышает 30 машинописных страниц -  в течение 5 рабочих дней. День поступления проекта правового акта в правовой отдел для производства антикоррупционной экспертизы в сроки, указанные в настоящем абзаце не включается.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5. В случае выявления в ходе  проведения антикоррупционной экспертизы проекта правового акта коррупциогенных факторов, правовой отдел администрации города готовит заключение, которое должно содержать: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наименование проекта правового акта;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указание на структурное подразделение администрации города, муниципальное учреждение, подготовившее проект правового акта;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указание на виды выявленных коррупциогенных факторов, из числа указанных в пунктах 3 или 4 Методики, во взаимосвязи с конкретными нормами, содержащимися в проекте правового акта, в которых данные  коррупциогенные факторы выявлены;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краткое описание негативных последствий, которые может повлечь принятие проекта правового акта (отдельных его норм) для граждан или организаций применительно к каждому выявленному коррупциогенному фактору;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рекомендации, направленные на устранение выявленных коррупциогенных факторов.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Заключение, указанное в настоящем пункте, направляется в  структурное подразделение администрации города, муниципальное учреждение, подготовившее проект правового акта, а также главе города.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6. Заключение, указанное в пункте 5 настоящего Порядка подписывается сотрудником правового отдела администрации города, проводившим антикоррупционную  экспертизу проекта правового акта.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kern w:val="2"/>
          <w:u w:val="none"/>
          <w:lang w:eastAsia="ru-RU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kern w:val="2"/>
          <w:u w:val="none"/>
          <w:lang w:eastAsia="ru-RU"/>
        </w:rPr>
        <w:tab/>
        <w:tab/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7. При отсутствии выявленных коррупциогенных факторов в ходе производства антикоррупционной экспертизы  проекта правового акта соответствующее заключение не составляется.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8. Антикоррупционная экспертиза действующих правовых актов осуществляется в ходе мониторинга их применения, который носит постоянный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 xml:space="preserve">Мониторинг применения действующих правовых актов производится структурными подразделениями администрации города, муниципальными учреждениями, в сферу деятельности которых входит правоприменение правового акта.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>При выявлении в действующем правовом акте коррупциогенных факторов,  структурным подразделением администрации города, муниципальным учреждением готовится проект правового акта о внесении изменений в действующий правовой акт, направленный на устранение выявленных коррупциогенных факторов, либо  готовится проект правового акта, заменяющий собой действующий правовой акт, содержащий коррупциогенные факторы (при существенном объеме норм, требующих корректировки).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  <w:t xml:space="preserve">9.  Антикоррупционная экспертиза проектов правовых актов, указанных в абзаце третьем пункта 8 </w:t>
      </w:r>
      <w:bookmarkStart w:id="4" w:name="__DdeLink__157_4165537781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 xml:space="preserve">настоящего Порядка </w:t>
      </w:r>
      <w:bookmarkEnd w:id="4"/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>осуществляется в порядке, предусмотренном пунктами 4 - 7 настоящего Порядка.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kern w:val="2"/>
          <w:sz w:val="28"/>
          <w:szCs w:val="28"/>
          <w:u w:val="none"/>
          <w:lang w:eastAsia="ru-RU"/>
        </w:rPr>
        <w:tab/>
        <w:tab/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firstLine="568"/>
        <w:jc w:val="center"/>
        <w:textAlignment w:val="baseline"/>
        <w:rPr>
          <w:rFonts w:ascii="Times New Roman" w:hAnsi="Times New Roman" w:eastAsia="Source Han Sans CN Regular;Times New Roman" w:cs="PT Astra Serif"/>
          <w:b/>
          <w:b/>
          <w:kern w:val="2"/>
          <w:sz w:val="28"/>
          <w:szCs w:val="28"/>
          <w:lang w:eastAsia="ru-RU"/>
        </w:rPr>
      </w:pPr>
      <w:r>
        <w:rPr>
          <w:rFonts w:eastAsia="Source Han Sans CN Regular;Times New Roman" w:cs="PT Astra Serif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firstLine="568"/>
        <w:jc w:val="center"/>
        <w:textAlignment w:val="baseline"/>
        <w:rPr>
          <w:rFonts w:ascii="Times New Roman" w:hAnsi="Times New Roman" w:eastAsia="Source Han Sans CN Regular;Times New Roman" w:cs="PT Astra Serif"/>
          <w:b/>
          <w:b/>
          <w:kern w:val="2"/>
          <w:sz w:val="28"/>
          <w:szCs w:val="28"/>
          <w:lang w:eastAsia="ru-RU"/>
        </w:rPr>
      </w:pPr>
      <w:r>
        <w:rPr>
          <w:rFonts w:eastAsia="Source Han Sans CN Regular;Times New Roman" w:cs="PT Astra Serif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firstLine="568"/>
        <w:jc w:val="center"/>
        <w:textAlignment w:val="baseline"/>
        <w:rPr>
          <w:rFonts w:ascii="Times New Roman" w:hAnsi="Times New Roman" w:eastAsia="Source Han Sans CN Regular;Times New Roman" w:cs="PT Astra Serif"/>
          <w:b/>
          <w:b/>
          <w:kern w:val="2"/>
          <w:sz w:val="28"/>
          <w:szCs w:val="28"/>
          <w:lang w:eastAsia="ru-RU"/>
        </w:rPr>
      </w:pPr>
      <w:r>
        <w:rPr>
          <w:rFonts w:eastAsia="Source Han Sans CN Regular;Times New Roman" w:cs="PT Astra Serif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firstLine="568"/>
        <w:jc w:val="center"/>
        <w:textAlignment w:val="baseline"/>
        <w:rPr>
          <w:rFonts w:ascii="Times New Roman" w:hAnsi="Times New Roman" w:eastAsia="Source Han Sans CN Regular;Times New Roman" w:cs="PT Astra Serif"/>
          <w:b/>
          <w:b/>
          <w:kern w:val="2"/>
          <w:sz w:val="28"/>
          <w:szCs w:val="28"/>
          <w:lang w:eastAsia="ru-RU"/>
        </w:rPr>
      </w:pPr>
      <w:r>
        <w:rPr>
          <w:rFonts w:eastAsia="Source Han Sans CN Regular;Times New Roman" w:cs="PT Astra Serif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-284" w:right="0" w:firstLine="568"/>
        <w:jc w:val="center"/>
        <w:textAlignment w:val="baseline"/>
        <w:rPr>
          <w:rFonts w:ascii="Times New Roman" w:hAnsi="Times New Roman" w:eastAsia="Source Han Sans CN Regular;Times New Roman" w:cs="PT Astra Serif"/>
          <w:b w:val="false"/>
          <w:b w:val="false"/>
          <w:bCs w:val="false"/>
          <w:kern w:val="2"/>
          <w:sz w:val="28"/>
          <w:szCs w:val="28"/>
          <w:lang w:eastAsia="ru-RU"/>
        </w:rPr>
      </w:pPr>
      <w:r>
        <w:rPr>
          <w:rFonts w:eastAsia="Source Han Sans CN Regular;Times New Roman" w:cs="PT Astra Serif" w:ascii="Times New Roman" w:hAnsi="Times New Roman"/>
          <w:b w:val="false"/>
          <w:bCs w:val="false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left="-284" w:right="-1" w:hanging="0"/>
        <w:jc w:val="both"/>
        <w:textAlignment w:val="baseline"/>
        <w:rPr/>
      </w:pPr>
      <w:r>
        <w:rPr>
          <w:rFonts w:eastAsia="Source Han Sans CN Regular;Times New Roman" w:cs="PT Astra Serif" w:ascii="Times New Roman" w:hAnsi="Times New Roman"/>
          <w:b/>
          <w:kern w:val="2"/>
          <w:sz w:val="28"/>
          <w:szCs w:val="28"/>
          <w:lang w:eastAsia="ru-RU" w:bidi="hi-IN"/>
        </w:rPr>
        <w:tab/>
        <w:tab/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57170514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Application>LibreOffice/5.4.2.2$Windows_X86_64 LibreOffice_project/22b09f6418e8c2d508a9eaf86b2399209b0990f4</Application>
  <Pages>4</Pages>
  <Words>846</Words>
  <Characters>6802</Characters>
  <CharactersWithSpaces>7769</CharactersWithSpaces>
  <Paragraphs>42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2025-04-28T16:49:00Z</dcterms:created>
  <dc:creator>user-1</dc:creator>
  <dc:description/>
  <dc:language>ru-RU</dc:language>
  <cp:lastModifiedBy/>
  <cp:lastPrinted>2024-09-10T07:22:00Z</cp:lastPrinted>
  <dcterms:modified xsi:type="dcterms:W3CDTF">2025-06-24T15:06:49Z</dcterms:modified>
  <cp:revision>78</cp:revision>
  <dc:subject/>
  <dc:title>Постановление Правительства РФ от 26.02.2010 N 96(ред. от 20.04.2024)"Об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4025.00.02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