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12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со статьей 48 Федерального закона от 20.03.2025 № 33-ФЗ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25.12.2025 № 128 «Об утверждении Порядка назначения и проведения собрания граждан на территории Жердевского муниципального округа Тамбовской области», в целях рассмотрения и обсуждения вопросов внесения инициативных проектов,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>16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февраля 2026 года в 14:00 часов по адресу: Тамбовская область, Жердевский муниципальный округ, с. Вязовое,              ул. Жукова,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 xml:space="preserve"> 57 (здание филиала МБУК «Центр культуры и досуга»</w:t>
      </w:r>
      <w:r>
        <w:rPr>
          <w:rFonts w:eastAsia="Calibri" w:cs="Times New Roman" w:ascii="Times New Roman" w:hAnsi="Times New Roman"/>
          <w:i w:val="false"/>
          <w:iCs w:val="false"/>
          <w:color w:val="000000" w:themeColor="text1"/>
          <w:sz w:val="28"/>
          <w:szCs w:val="28"/>
        </w:rPr>
        <w:t>).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2. Вынести на рассмотрение собрания граждан вопрос о поддержке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 «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3. Определить: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1) территорию, в границах которой проводится собрание: </w:t>
      </w:r>
      <w:r>
        <w:rPr>
          <w:rFonts w:ascii="Times New Roman" w:hAnsi="Times New Roman"/>
          <w:i w:val="false"/>
          <w:iCs w:val="false"/>
          <w:sz w:val="28"/>
          <w:szCs w:val="28"/>
        </w:rPr>
        <w:t>с. Вязовое Жердевского муниципального округа Тамбовской области с численностью граждан, проживающих  на территории, в границах которой проводится собрание, 670 человек.;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2) инициатором и организатором собрания — инициативную группу по выдвижению инициативного проекта «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        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570" w:top="627" w:footer="83" w:bottom="140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LibreOffice/7.2.5.2$Windows_X86_64 LibreOffice_project/499f9727c189e6ef3471021d6132d4c694f357e5</Application>
  <AppVersion>15.0000</AppVersion>
  <Pages>1</Pages>
  <Words>246</Words>
  <Characters>1773</Characters>
  <CharactersWithSpaces>2517</CharactersWithSpaces>
  <Paragraphs>21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2026-02-11T16:03:34Z</cp:lastPrinted>
  <dcterms:modified xsi:type="dcterms:W3CDTF">2026-02-11T16:03:46Z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