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  <w:rFonts w:ascii="Times New Roman" w:hAnsi="Times New Roman"/>
        </w:rPr>
        <w:t>АДМИНИСТРАЦИЯ  НИКИФОРОВСКОГО РАЙОНА</w:t>
      </w:r>
    </w:p>
    <w:p>
      <w:pPr>
        <w:pStyle w:val="style0"/>
        <w:jc w:val="center"/>
      </w:pPr>
      <w:r>
        <w:rPr>
          <w:sz w:val="28"/>
          <w:szCs w:val="28"/>
          <w:rFonts w:ascii="Times New Roman" w:hAnsi="Times New Roman"/>
        </w:rPr>
        <w:t>ТАМБОВСКОЙ ОБЛАСТИ</w:t>
      </w:r>
    </w:p>
    <w:p>
      <w:pPr>
        <w:pStyle w:val="style0"/>
        <w:jc w:val="center"/>
      </w:pPr>
      <w:r>
        <w:rPr>
          <w:sz w:val="28"/>
          <w:szCs w:val="28"/>
          <w:rFonts w:ascii="Times New Roman" w:hAnsi="Times New Roman"/>
        </w:rPr>
        <w:t>ПОСТАНОВЛЕНИЕ</w:t>
      </w:r>
    </w:p>
    <w:p>
      <w:pPr>
        <w:pStyle w:val="style0"/>
        <w:jc w:val="both"/>
      </w:pPr>
      <w:r>
        <w:rPr>
          <w:sz w:val="28"/>
          <w:szCs w:val="28"/>
          <w:rFonts w:ascii="Times New Roman" w:hAnsi="Times New Roman"/>
        </w:rPr>
        <w:t xml:space="preserve">  </w:t>
      </w:r>
      <w:r>
        <w:rPr>
          <w:sz w:val="28"/>
          <w:szCs w:val="28"/>
          <w:rFonts w:ascii="Times New Roman" w:hAnsi="Times New Roman"/>
        </w:rPr>
        <w:t>13.04.2015                            р.п.Дмитриевка                               № 319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  <w:ind w:hanging="0" w:left="-142" w:right="0"/>
      </w:pPr>
      <w:r>
        <w:rPr>
          <w:sz w:val="28"/>
          <w:szCs w:val="28"/>
          <w:bCs/>
          <w:rFonts w:ascii="Times New Roman" w:cs="Times New Roman" w:hAnsi="Times New Roman"/>
        </w:rPr>
        <w:t>О</w:t>
      </w:r>
      <w:r>
        <w:rPr>
          <w:sz w:val="28"/>
          <w:szCs w:val="28"/>
          <w:bCs/>
          <w:rFonts w:ascii="Times New Roman" w:hAnsi="Times New Roman"/>
        </w:rPr>
        <w:t>б утверждении Порядка подготовки заключений об оценке регулирующего воздействия на проекты нормативных правовых актов Никифоровского района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26.03.2014 № 159 «Об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Федерации» администрация района ПОСТАНОВЛЯЕТ: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1. Утвердить </w:t>
      </w:r>
      <w:hyperlink w:anchor="Par29">
        <w:r>
          <w:rPr>
            <w:rStyle w:val="style16"/>
            <w:color w:val="000000"/>
            <w:sz w:val="28"/>
            <w:szCs w:val="28"/>
            <w:rStyle w:val="style16"/>
            <w:rFonts w:ascii="Times New Roman" w:cs="Times New Roman" w:hAnsi="Times New Roman"/>
          </w:rPr>
          <w:t>Порядок</w:t>
        </w:r>
      </w:hyperlink>
      <w:r>
        <w:rPr>
          <w:sz w:val="28"/>
          <w:szCs w:val="28"/>
          <w:rFonts w:ascii="Times New Roman" w:cs="Times New Roman" w:hAnsi="Times New Roman"/>
        </w:rPr>
        <w:t xml:space="preserve"> подготовки заключений об оценке регулирующего воздействия на проекты нормативных правовых актов Никифоровского района согласно приложению.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 Руководителям структурных подразделений администрации района обеспечивать в соответствии с настоящим постановлением предоставление заключений об оценке регулирующего воздействия.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 Отделу экономики и труда, сферы услуг, защиты прав потребителей администрации района (Попова), главному юрисконсульту администрации района Ю.А.Ведищевой обеспечить в соответствии с настоящим постановлением проведение экспертизы заключений об оценке регулирующего воздействия.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4.Настоящее постановление вступает в силу с 01.01.2016 года.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5. </w:t>
      </w:r>
      <w:r>
        <w:rPr>
          <w:color w:val="000000"/>
          <w:sz w:val="28"/>
          <w:szCs w:val="28"/>
          <w:rFonts w:ascii="Times New Roman" w:cs="Times New Roman" w:hAnsi="Times New Roman"/>
        </w:rPr>
        <w:t>Разместить настоящее постановление на официальном сайте администрации района и на Тамбовском областном портале «ТОП 68» в сети «Интернет»</w:t>
      </w:r>
      <w:r>
        <w:rPr>
          <w:sz w:val="28"/>
          <w:szCs w:val="28"/>
          <w:rFonts w:ascii="Times New Roman" w:cs="Times New Roman" w:hAnsi="Times New Roman"/>
        </w:rPr>
        <w:t>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6. Контроль за исполнением настоящего постановления возложить на заместителя главы администрации района М.Р.Бабюк.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Глава администрации района                                               М.Н.Данилкин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  <w:t>Г.А.Попова</w:t>
      </w:r>
    </w:p>
    <w:p>
      <w:pPr>
        <w:pStyle w:val="style0"/>
        <w:jc w:val="both"/>
        <w:widowControl w:val="off"/>
        <w:spacing w:after="0" w:before="0" w:line="100" w:lineRule="atLeast"/>
      </w:pPr>
      <w:r>
        <w:rPr>
          <w:sz w:val="24"/>
          <w:szCs w:val="24"/>
          <w:rFonts w:ascii="Times New Roman" w:cs="Times New Roman" w:hAnsi="Times New Roman"/>
        </w:rPr>
        <w:t>38565</w:t>
      </w:r>
    </w:p>
    <w:p>
      <w:pPr>
        <w:pStyle w:val="style0"/>
        <w:jc w:val="right"/>
        <w:widowControl w:val="off"/>
        <w:spacing w:after="0" w:before="0" w:line="100" w:lineRule="atLeast"/>
      </w:pPr>
      <w:bookmarkStart w:id="0" w:name="Par24"/>
      <w:bookmarkEnd w:id="0"/>
      <w:r>
        <w:rPr>
          <w:sz w:val="28"/>
          <w:szCs w:val="28"/>
          <w:rFonts w:ascii="Times New Roman" w:cs="Times New Roman" w:hAnsi="Times New Roman"/>
        </w:rPr>
        <w:t>Утвержден</w:t>
      </w:r>
    </w:p>
    <w:p>
      <w:pPr>
        <w:pStyle w:val="style0"/>
        <w:jc w:val="right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постановлением администрации </w:t>
      </w:r>
    </w:p>
    <w:p>
      <w:pPr>
        <w:pStyle w:val="style0"/>
        <w:jc w:val="right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района</w:t>
      </w:r>
    </w:p>
    <w:p>
      <w:pPr>
        <w:pStyle w:val="style0"/>
        <w:jc w:val="right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от  13.04.2015 № 319  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center"/>
        <w:widowControl w:val="off"/>
        <w:spacing w:after="0" w:before="0" w:line="100" w:lineRule="atLeast"/>
      </w:pPr>
      <w:bookmarkStart w:id="1" w:name="Par29"/>
      <w:bookmarkEnd w:id="1"/>
      <w:r>
        <w:rPr>
          <w:sz w:val="28"/>
          <w:szCs w:val="28"/>
          <w:bCs/>
          <w:rFonts w:ascii="Times New Roman" w:cs="Times New Roman" w:hAnsi="Times New Roman"/>
        </w:rPr>
        <w:t xml:space="preserve">Порядок подготовки заключений об оценке регулирующего воздействия на проекты нормативных правовых актов Никифоровского района 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center"/>
        <w:widowControl w:val="off"/>
        <w:spacing w:after="0" w:before="0" w:line="100" w:lineRule="atLeast"/>
      </w:pPr>
      <w:bookmarkStart w:id="2" w:name="Par33"/>
      <w:bookmarkEnd w:id="2"/>
      <w:r>
        <w:rPr>
          <w:sz w:val="28"/>
          <w:szCs w:val="28"/>
          <w:rFonts w:ascii="Times New Roman" w:cs="Times New Roman" w:hAnsi="Times New Roman"/>
        </w:rPr>
        <w:t>1. Общие положения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1.1. Настоящий Порядок разработан в целях организации деятельности администрации района по проведению оценки регулирующего воздействия проектов нормативных правовых актов района и определению социально-экономических, финансовых и иных последствий реализации предлагаемых решений.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1.2. Оценка регулирующего воздействия (далее - ОРВ) проектов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Никифоровского района Тамбовской области.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1.3. ОРВ подлежат проекты нормативных правовых актов района, </w:t>
      </w:r>
    </w:p>
    <w:p>
      <w:pPr>
        <w:pStyle w:val="style0"/>
        <w:jc w:val="both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затрагивающие вопросы осуществления предпринимательской и инвестиционной деятельности.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По инициативе администрации Никифоровского района ОРВ проектов нормативных правовых актов Никифоровского района Тамбовской области, затрагивающих вопросы осуществления предпринимательской и инвестиционной деятельности, проводится также в отношении проектов нормативных правовых актов в области налогового законодательства.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1.4. В настоящем Порядке используются следующие основные понятия и их определения: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уполномоченный орган - структурное подразделение администрации района, являющийся разработчиком проектов нормативных правовых актов, осуществляющий функции по выработке государственной политики и нормативно-правовому регулированию в соответствующих сферах общественных отношений;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публичные консультации - открытое обсуждение с заинтересованными лицами проекта нормативного правового акта, организуемое уполномоченным органом в ходе проведения процедуры ОРВ и подготовки заключения об оценке регулирующего воздействия;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заключение об ОРВ проекта нормативного правового акта (далее - заключение) - документ, содержащий выводы по итогам проведения уполномоченным органом ОРВ, а также результаты расчетов издержек и выгод применения предлагаемого решения;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экспертное заключение об оценке регулирующего воздействия (далее - экспертное заключение) - завершающий процедуру ОРВ документ, подготавливаемый отделом экономики и труда, сферы услуг, защиты прав потребителей администрации района и содержащий выводы о соблюдении уполномоченным органом установленного порядка проведения процедуры ОРВ, а также об обоснованности полученных уполномоченным органом результатов оценки регулирующего воздействия проекта нормативного правового акта;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официальный сайт - специализированный информационный ресурс в информационно-телекоммуникационной сети "Интернет", определенный в Никифоровском районе Тамбовской области для размещения сведений о проведении процедуры ОРВ, в том числе в целях организации публичных консультаций и информирования об их результатах.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1.5. Участниками процедур ОРВ являются уполномоченный орган, отдел экономики и труда, сферы услуг, защиты прав потребителей администрации района, главный юрисконсульт администрации района, заинтересованные лица, принимающие участие в публичных консультациях.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1.6. Уполномоченный орган осуществляет следующие полномочия: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организует проведение ОРВ проектов нормативных правовых актов Никифоровского района Тамбовской области;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размещает на официальном сайте уведомление об обсуждении предлагаемого правового регулирования;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организует проведение публичных консультаций в соответствии с настоящим Порядком;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осуществляет подготовку заключений об ОРВ.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1.7. Отдел экономики и труда, сферы услуг, защиты прав потребителей  администрации района осуществляет следующие полномочия: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внедряет процедуру ОРВ;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осуществляет методическое и информационное обеспечение ОРВ в Никифоровском районе Тамбовской области;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координирует взаимодействие участников процедур ОРВ;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осуществляет контроль качества осуществления ОРВ и подготовки уполномоченным органом заключений об ОРВ;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осуществляет подготовку экспертного заключения об ОРВ;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ежегодно готовит и публикует на официальном сайте сведения о развитии и результатах ОРВ;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при необходимости дополнительно запрашивает расчеты и обоснования, а также иную необходимую информацию у уполномоченного органа в целях подготовки экспертных заключений об ОРВ;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взаимодействует с органом исполнительной власти области по вопросам организации и проведения ОРВ.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1.8. Для проведения ОРВ проект нормативного правового акта, поступивший из Никифоровского районного Совета народных депутатов, после его регистрации в приемной администрации района направляется заместителю главы администрации района, курирующему вопросы экономического развития района.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По решению заместителя главы администрации района, проект нормативного правового акта в течение 2 рабочих дней направляется в структурное подразделение администрации района в соответствии с установленной сферой деятельности (уполномоченный орган) для проведения ОРВ.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1.9. В случае возникновения спорных вопросов в ходе проведения ОРВ отдел экономики и труда, сферы услуг, защиты прав потребителей администрации района вправе инициировать проведение заседания с привлечением заинтересованных лиц.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1.10. ОРВ проектов нормативных правовых актов администрации Никифоровского района Тамбовской области проводится уполномоченным органом для обоснования возможных положительных и отрицательных последствий введения регулирования, а также обеспечения возможности учета мнений лиц, интересы которых затрагиваются предлагаемым правовым регулированием.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 ходе ОРВ уполномоченный орган определяет: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проблему, на решение которой направлено предлагаемое регулирование;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цель (цели) правового регулирования;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возможные способы достижения поставленной цели с указанием конкретных инструментов регулирования;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основные группы субъектов предпринимательской, инвестиционной и иной деятельности интересы которых затрагиваются устанавливаемым правовым регулированием;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ожидаемые издержки и выгоды участников общественных отношений, интересы которых затрагиваются устанавливаемым правовым регулированием, от использования предлагаемых инструментов регулирования;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ожидаемые положительные и отрицательные последствия использования различных инструментов регулирования;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обоснование способа правового регулирования, применяемого для регулирования соответствующих общественных отношений;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конкретные измеримые результаты правового регулирования.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1.11. Выбор способов сбора и обработки необходимой информации, методов анализа и представления полученных результатов осуществляется уполномоченным органом самостоятельно таким образом, чтобы обеспечить участвующих в принятии решения о разработке и утверждении проекта нормативного правового акта администрации Никифоровского района Тамбовской области максимально возможной и объективной информацией о проблемах, существующих в соответствующих общественных отношениях, положительных и отрицательных последствиях.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1.12. ОРВ преимущественно основывается на данных, опубликованных в открытых источниках, которые могут быть верифицированы другими заинтересованными лицами.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center"/>
        <w:widowControl w:val="off"/>
        <w:spacing w:after="0" w:before="0" w:line="100" w:lineRule="atLeast"/>
      </w:pPr>
      <w:bookmarkStart w:id="3" w:name="Par76"/>
      <w:bookmarkEnd w:id="3"/>
      <w:r>
        <w:rPr>
          <w:sz w:val="28"/>
          <w:szCs w:val="28"/>
          <w:rFonts w:ascii="Times New Roman" w:cs="Times New Roman" w:hAnsi="Times New Roman"/>
        </w:rPr>
        <w:t>2. Проведение публичных консультаций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2.1. Публичные консультации являются одним из элементов ОРВ.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Публичные консультации проводятся с соблюдением требований, предусмотренных настоящим Порядком.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2.2. Целями проведения публичных консультаций по обсуждению проекта нормативного правового акта являются: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сбор мнений всех заинтересованных лиц относительно достижимости целей правового регулирования;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регулирования, и возможных выгод и издержек указанных групп, а также доходов и расходов бюджета района, связанных с введением указанного варианта предлагаемого правового регулирования;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определение достижимости целей предлагаемого правового регулирования, поставленных уполномоченным органом, а также возможных рисков, связанных с введением соответствующего правового регулирования.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2.3. В целях организации и проведения публичных консультаций уполномоченный орган может заключать соглашения с общественными организациями предпринимателей, предусматривающие порядок их взаимодействия при проведении ОРВ.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2.4. Уполномоченный орган размещает на официальном Интернет-сайте администрации Никифоровского района </w:t>
      </w:r>
      <w:hyperlink w:anchor="Par132">
        <w:r>
          <w:rPr>
            <w:rStyle w:val="style16"/>
            <w:color w:val="000000"/>
            <w:sz w:val="28"/>
            <w:szCs w:val="28"/>
            <w:rStyle w:val="style16"/>
            <w:rFonts w:ascii="Times New Roman" w:cs="Times New Roman" w:hAnsi="Times New Roman"/>
          </w:rPr>
          <w:t>уведомление</w:t>
        </w:r>
      </w:hyperlink>
      <w:r>
        <w:rPr>
          <w:sz w:val="28"/>
          <w:szCs w:val="28"/>
          <w:rFonts w:ascii="Times New Roman" w:cs="Times New Roman" w:hAnsi="Times New Roman"/>
        </w:rPr>
        <w:t xml:space="preserve"> об обсуждении предлагаемого правового регулирования по форме согласно приложению № 1 к настоящему Порядку, в котором представляет сравнительный анализ возможных вариантов решения выявленной проблемы.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2.5. О проведении обсуждения уполномоченный орган извещает заинтересованные органы и организации, действующие на территории района, целью деятельности которых является защита и представление интересов субъектов предпринимательской деятельности, Уполномоченного по защите прав предпринимателей Тамбовской области.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2.6. Срок для проведения публичных консультаций должен быть не менее 15 календарных дней с момента первого размещения уведомления о проведении ОРВ.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2.7. Уполномоченный орган, проводящий публичные консультации, вправе продлить срок их проведения, а также отказаться от их проведения, если принято решение о нецелесообразности подготовки проекта нормативного правового акта. Указанная информация подлежит публикации на официальном Интернет-сайте администрации района в течение 3 рабочих дней с момента принятия соответствующего решения. Одновременно данная информация направляется участникам публичных консультаций, которым было направлено персонально уведомление о данных консультациях.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2.8. Уполномоченный орган осуществляет обработку всех предложений, поступивших в ходе публичных консультаций, по результатам которой составляет сводку данных предложений (далее - сводка предложений) с указанием лиц, которым было персонально направлено уведомление о проведении публичных консультаций, авторов и содержания предложений, сведений об их учете или причинах отклонения.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2.9. Результаты публичных консультаций учитываются уполномоченным органом при доработке проекта нормативного правового акта, а также при подготовке заключения об ОРВ. Сводка предложений, доработанный (при необходимости) проект нормативного правового акта размещаются на официальном сайте одновременно с заключением об ОРВ.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center"/>
        <w:widowControl w:val="off"/>
        <w:spacing w:after="0" w:before="0" w:line="100" w:lineRule="atLeast"/>
      </w:pPr>
      <w:bookmarkStart w:id="4" w:name="Par92"/>
      <w:bookmarkEnd w:id="4"/>
      <w:r>
        <w:rPr>
          <w:sz w:val="28"/>
          <w:szCs w:val="28"/>
          <w:rFonts w:ascii="Times New Roman" w:cs="Times New Roman" w:hAnsi="Times New Roman"/>
        </w:rPr>
        <w:t>3. Подготовка заключения об оценке регулирующего воздействия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3.1. По результатам проведения ОРВ уполномоченный орган составляет </w:t>
      </w:r>
      <w:hyperlink w:anchor="Par240">
        <w:r>
          <w:rPr>
            <w:rStyle w:val="style16"/>
            <w:color w:val="000000"/>
            <w:sz w:val="28"/>
            <w:szCs w:val="28"/>
            <w:rStyle w:val="style16"/>
            <w:rFonts w:ascii="Times New Roman" w:cs="Times New Roman" w:hAnsi="Times New Roman"/>
          </w:rPr>
          <w:t>заключение</w:t>
        </w:r>
      </w:hyperlink>
      <w:r>
        <w:rPr>
          <w:color w:val="000000"/>
          <w:sz w:val="28"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>с учетом результатов публичных консультаций в срок не более 10 календарных дней с момента завершения публичных консультаций по форме согласно приложению № 2 к настоящему Порядку.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3.2. В заключении приводятся источники использованных при его подготовке данных.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К заключению в обязательном порядке прилагается сводка предложений по результатам публичных консультаций, доработанный проект нормативного правового акта и расчеты, необходимые для заполнения разделов заключения.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3.3. Информация об источниках данных и методах расчетов должна обеспечивать возможность их верификации. Если расчеты произведены на основании данных, не опубликованных в открытых источниках, такие данные должны быть приведены в приложении к сводному отчету в полном объеме.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bookmarkStart w:id="5" w:name="Par98"/>
      <w:bookmarkEnd w:id="5"/>
      <w:r>
        <w:rPr>
          <w:sz w:val="28"/>
          <w:szCs w:val="28"/>
          <w:rFonts w:ascii="Times New Roman" w:cs="Times New Roman" w:hAnsi="Times New Roman"/>
        </w:rPr>
        <w:t>3.4. Заключение с приложениями об ОРВ, подписанное руководителем уполномоченного органа, представляется в отдел экономики и труда, сферы услуг, защиты прав потребителей администрации района в срок не более 30 календарных дней со дня размещения на официальном сайте уведомления об обсуждении предлагаемого правового регулирования.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center"/>
        <w:widowControl w:val="off"/>
        <w:spacing w:after="0" w:before="0" w:line="100" w:lineRule="atLeast"/>
      </w:pPr>
      <w:bookmarkStart w:id="6" w:name="Par100"/>
      <w:bookmarkEnd w:id="6"/>
      <w:r>
        <w:rPr>
          <w:sz w:val="28"/>
          <w:szCs w:val="28"/>
          <w:rFonts w:ascii="Times New Roman" w:cs="Times New Roman" w:hAnsi="Times New Roman"/>
        </w:rPr>
        <w:t>4. Подготовка экспертного заключения об оценке регулирующего</w:t>
      </w:r>
    </w:p>
    <w:p>
      <w:pPr>
        <w:pStyle w:val="style0"/>
        <w:jc w:val="center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воздействия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4.1. Экспертное заключение об ОРВ подготавливается отделом экономики и труда, сферы услуг, защиты прав потребителей администрации района в 15-дневный срок со дня поступления от уполномоченного органа заключения об оценке регулирующего воздействия и содержит выводы о соблюдении уполномоченным органом установленного порядка проведения процедуры ОРВ, а также об обоснованности полученных им результатов ОРВ.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4.2. Отдел экономики и труда, сферы услуг, защиты прав потребителей администрации района проводит экспертизу заключения об оценке регулирующего воздействия проекта нормативного правового акта, включающую: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оценку соответствия процедур требованиям настоящего Порядка;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оценку качества заключения, в том числе корректность использования и интерпретации данных, обоснованность выбора уполномоченным органом наиболее эффективного варианта решения проблемы.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4.3. В целях установления соответствия проекта действующему законодательству, а также возможности решения рассматриваемой проектом проблемы иными правовыми средствами отдел экономики и труда, сферы услуг, защиты прав потребителей администрации района направляет документы, указанные в </w:t>
      </w:r>
      <w:hyperlink w:anchor="Par98">
        <w:r>
          <w:rPr>
            <w:rStyle w:val="style16"/>
            <w:color w:val="000000"/>
            <w:sz w:val="28"/>
            <w:szCs w:val="28"/>
            <w:rStyle w:val="style16"/>
            <w:rFonts w:ascii="Times New Roman" w:cs="Times New Roman" w:hAnsi="Times New Roman"/>
          </w:rPr>
          <w:t>пункте 3.4</w:t>
        </w:r>
      </w:hyperlink>
      <w:r>
        <w:rPr>
          <w:color w:val="000000"/>
          <w:sz w:val="28"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>настоящего Порядка, главному юрисконсульту администрации района.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Заключение о соответствии проекта действующему законодательству подготавливается главным юрисконсультом администрации района.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4.4. При несоответствии заключения об ОРВ настоящему Порядку отдел экономики и труда, сферы услуг, защиты прав потребителей администрации района возвращает его уполномоченному органу на доработку.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4.5. В случае выявления несоблюдения требований установленного порядка проведения процедуры ОРВ в экспертном заключении указывается о необходимости повторного проведения процедуры ОРВ с последующей доработкой и повторным направлением в отдел экономики и труда, сферы услуг, защиты прав потребителей администрации района заключения и проекта нормативного правового акта для подготовки экспертного заключения об ОРВ.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4.6. Оценка качества заключения основывается на результатах исследования выявленной уполномоченным органом проблемы, представленных в заключении об ОРВ. При этом учитываются также мнения участников публичных консультаций, отраженные в сводках предложений, поступивших по результатам проведения публичных консультаций. В случае наличия обоснованных предложений, направленных на улучшение качества проекта нормативного правового акта, они также отражаются в экспертном заключении об оценке регулирующего воздействия.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4.7. Выявленные в проекте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района, указываются в экспертном заключении об оценке регулирующего воздействия.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4.8. Выводы отдела экономики и труда, сферы услуг, защиты прав потребителей администрации района и главного юрисконсульта администрации района относительно обоснований предлагаемого уполномоченным органом варианта правового регулирования, а также их собственные оценки и иные замечания подлежат включению соответственно в экспертное заключение об оценке регулирующего воздействия и заключение главного юрисконсульта администрации района.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4.9. Экспертное заключение отдела экономики и труда, сферы услуг, защиты прав потребителей администрации района и главного юрисконсульта администрации района подписываются начальником отдела экономики и труда, сферы услуг, защиты прав потребителей администрации района и главным юрисконсультом администрации района.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4.10. Экспертное заключение и заключение главного юрисконсульта администрации района направляются отделом экономики и труда, сферы услуг, защиты прав потребителей администрации района заместителю главы администрации района, курирующему вопросы экономического развития.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4.11. В соответствии с резолюцией заместителя главы администрации района, экспертное заключение и заключение главного юрисконсульта администрации района направляются уполномоченному органу, а также заместителю главы администрации района, курирующему вопросы экономического развития.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4.12. Отдел экономики и труда, сферы услуг, защиты прав потребителей администрации района размещает экспертное заключение на официальном сайте не позднее 3 рабочих дней со дня направления его в уполномоченный орган.</w:t>
      </w:r>
    </w:p>
    <w:p>
      <w:pPr>
        <w:pStyle w:val="style0"/>
        <w:jc w:val="both"/>
        <w:widowControl w:val="off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4.13. Результаты экспертного заключения об ОРВ учитываются уполномоченным органом на стадии доработки проекта нормативного правового акта.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right"/>
        <w:widowControl w:val="off"/>
        <w:spacing w:after="0" w:before="0" w:line="100" w:lineRule="atLeast"/>
      </w:pPr>
      <w:r>
        <w:rPr/>
      </w:r>
    </w:p>
    <w:p>
      <w:pPr>
        <w:pStyle w:val="style0"/>
        <w:jc w:val="right"/>
        <w:widowControl w:val="off"/>
        <w:pageBreakBefore/>
        <w:spacing w:after="0" w:before="0" w:line="100" w:lineRule="atLeast"/>
      </w:pPr>
      <w:bookmarkStart w:id="7" w:name="Par124"/>
      <w:bookmarkEnd w:id="7"/>
      <w:r>
        <w:rPr>
          <w:sz w:val="28"/>
          <w:szCs w:val="28"/>
          <w:rFonts w:ascii="Times New Roman" w:cs="Times New Roman" w:hAnsi="Times New Roman"/>
        </w:rPr>
        <w:t>Приложение 1</w:t>
      </w:r>
    </w:p>
    <w:p>
      <w:pPr>
        <w:pStyle w:val="style0"/>
        <w:jc w:val="right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к Порядку подготовки заключений</w:t>
      </w:r>
    </w:p>
    <w:p>
      <w:pPr>
        <w:pStyle w:val="style0"/>
        <w:jc w:val="right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об оценке регулирующего</w:t>
      </w:r>
    </w:p>
    <w:p>
      <w:pPr>
        <w:pStyle w:val="style0"/>
        <w:jc w:val="right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воздействия на проекты нормативных</w:t>
      </w:r>
    </w:p>
    <w:p>
      <w:pPr>
        <w:pStyle w:val="style0"/>
        <w:jc w:val="right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правовых актов </w:t>
      </w:r>
    </w:p>
    <w:p>
      <w:pPr>
        <w:pStyle w:val="style22"/>
      </w:pPr>
      <w:r>
        <w:rPr/>
        <w:t xml:space="preserve">                    </w:t>
      </w:r>
      <w:r>
        <w:rPr>
          <w:sz w:val="24"/>
          <w:szCs w:val="24"/>
          <w:rFonts w:ascii="Times New Roman" w:cs="Times New Roman" w:hAnsi="Times New Roman"/>
        </w:rPr>
        <w:t>Форма</w:t>
      </w:r>
    </w:p>
    <w:p>
      <w:pPr>
        <w:pStyle w:val="style22"/>
      </w:pPr>
      <w:r>
        <w:rPr/>
      </w:r>
    </w:p>
    <w:p>
      <w:pPr>
        <w:pStyle w:val="style22"/>
      </w:pPr>
      <w:bookmarkStart w:id="8" w:name="Par132"/>
      <w:bookmarkEnd w:id="8"/>
      <w:r>
        <w:rPr>
          <w:sz w:val="24"/>
          <w:szCs w:val="24"/>
          <w:rFonts w:ascii="Times New Roman" w:cs="Times New Roman" w:hAnsi="Times New Roman"/>
        </w:rPr>
        <w:t xml:space="preserve">                                </w:t>
      </w:r>
      <w:r>
        <w:rPr>
          <w:sz w:val="24"/>
          <w:szCs w:val="24"/>
          <w:rFonts w:ascii="Times New Roman" w:cs="Times New Roman" w:hAnsi="Times New Roman"/>
        </w:rPr>
        <w:t>Уведомление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</w:t>
      </w:r>
      <w:r>
        <w:rPr>
          <w:sz w:val="24"/>
          <w:szCs w:val="24"/>
          <w:rFonts w:ascii="Times New Roman" w:cs="Times New Roman" w:hAnsi="Times New Roman"/>
        </w:rPr>
        <w:t>об обсуждении предлагаемого правового регулирования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Настоящим 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                                                                   </w:t>
      </w:r>
      <w:r>
        <w:rPr>
          <w:sz w:val="16"/>
          <w:szCs w:val="16"/>
          <w:rFonts w:ascii="Times New Roman" w:cs="Times New Roman" w:hAnsi="Times New Roman"/>
        </w:rPr>
        <w:t>(наименование   органа-разработчика)</w:t>
      </w:r>
      <w:r>
        <w:rPr>
          <w:sz w:val="24"/>
          <w:szCs w:val="24"/>
          <w:rFonts w:ascii="Times New Roman" w:cs="Times New Roman" w:hAnsi="Times New Roman"/>
        </w:rPr>
        <w:t xml:space="preserve">  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извещает  о  начале  обсуждения  идеи (концепции)  предлагаемого  правового  регулирования  и  сборе  предложений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заинтересованных лиц.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Предложения  принимаются по адресу: _______________________, а также по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адресу электронной почты: 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Сроки приема предложений: 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Место   размещения   уведомления   о  подготовке  проекта  нормативного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правового акта в информационно-телекоммуникационной сети "Интернет" (полный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электронный адрес): ______________________________________________________.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Все  поступившие  предложения  будут  рассмотрены.  Сводка  предложений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будет размещена на сайте ___________ 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                                         </w:t>
      </w:r>
      <w:r>
        <w:rPr>
          <w:sz w:val="16"/>
          <w:szCs w:val="16"/>
          <w:rFonts w:ascii="Times New Roman" w:cs="Times New Roman" w:hAnsi="Times New Roman"/>
        </w:rPr>
        <w:t>(адрес  официального сайта)</w:t>
      </w:r>
      <w:r>
        <w:rPr>
          <w:sz w:val="24"/>
          <w:szCs w:val="24"/>
          <w:rFonts w:ascii="Times New Roman" w:cs="Times New Roman" w:hAnsi="Times New Roman"/>
        </w:rPr>
        <w:t xml:space="preserve"> 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не позднее __________ 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      </w:t>
      </w:r>
      <w:r>
        <w:rPr>
          <w:sz w:val="16"/>
          <w:szCs w:val="16"/>
          <w:rFonts w:ascii="Times New Roman" w:cs="Times New Roman" w:hAnsi="Times New Roman"/>
        </w:rPr>
        <w:t>(число, месяц, год).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1.  Описание  проблемы, на решение которой направлено предлагаемое правовое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регулирование: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2. Цели предлагаемого правового регулирования: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3.  Действующие  нормативные  правовые  акты, поручения, другие решения, из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которых   вытекает   необходимость   разработки   предлагаемого   правового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регулирования в данной области: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4.   Планируемый   срок   вступления   в   силу   предлагаемого   правового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регулирования: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5.  Сведения  о  необходимости  или  отсутствии  необходимости установления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переходного периода: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6. Сравнение возможных вариантов решения проблемы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4759"/>
        <w:gridCol w:w="6186"/>
        <w:gridCol w:w="7904"/>
        <w:gridCol w:w="9390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7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18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Вариант 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9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Вариант 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3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Вариант N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7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6.1. Содержание варианта решения выявленной проблемы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18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9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3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7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18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9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3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7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18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9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3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7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6.4. Оценка расходов (доходов) бюджета, связанных с введением предлагаемого правового регулирования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18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9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3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7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18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9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3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7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6.6. Оценка рисков неблагоприятных последствий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18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9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3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6.7.  Обоснование выбора предпочтительного варианта предлагаемого правового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регулирования выявленной проблемы: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7.  Иная информация по решению органа-разработчика, относящаяся к сведениям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о подготовке идеи (концепции) предлагаемого правового регулирования: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К уведомлению прилагаются:</w:t>
      </w:r>
    </w:p>
    <w:tbl>
      <w:tblPr>
        <w:tblBorders/>
        <w:jc w:val="left"/>
        <w:tblInd w:type="dxa" w:w="-108"/>
      </w:tblPr>
      <w:tblGrid>
        <w:gridCol w:w="4783"/>
        <w:gridCol w:w="9566"/>
      </w:tblGrid>
      <w:tr>
        <w:trPr>
          <w:trHeight w:hRule="atLeast" w:val="288"/>
          <w:cantSplit w:val="off"/>
        </w:trPr>
        <w:tc>
          <w:tcPr>
            <w:tcBorders/>
            <w:shd w:fill="FFFFFF"/>
            <w:tcW w:type="dxa" w:w="47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Перечень вопросов для участников публичных консультаций</w:t>
            </w:r>
          </w:p>
        </w:tc>
        <w:tc>
          <w:tcPr>
            <w:tcBorders/>
            <w:shd w:fill="FFFFFF"/>
            <w:tcW w:type="dxa" w:w="95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tbl>
            <w:tblPr>
              <w:tblBorders>
                <w:top w:color="00000A" w:space="0" w:sz="4" w:val="single"/>
                <w:left w:color="00000A" w:space="0" w:sz="4" w:val="single"/>
                <w:bottom w:color="00000A" w:space="0" w:sz="4" w:val="single"/>
                <w:right w:color="00000A" w:space="0" w:sz="4" w:val="single"/>
              </w:tblBorders>
              <w:jc w:val="left"/>
              <w:tblInd w:type="dxa" w:w="-108"/>
            </w:tblPr>
            <w:tblGrid>
              <w:gridCol w:w="614"/>
            </w:tblGrid>
            <w:tr>
              <w:trPr>
                <w:trHeight w:hRule="atLeast" w:val="288"/>
                <w:cantSplit w:val="off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/>
                  <w:tcW w:type="dxa" w:w="614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22"/>
                  </w:pPr>
                  <w:r>
                    <w:rPr/>
                  </w:r>
                </w:p>
              </w:tc>
            </w:tr>
          </w:tbl>
          <w:p>
            <w:pPr>
              <w:pStyle w:val="style22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/>
            <w:shd w:fill="FFFFFF"/>
            <w:tcW w:type="dxa" w:w="47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2"/>
              <w:numPr>
                <w:ilvl w:val="0"/>
                <w:numId w:val="1"/>
              </w:numPr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Borders/>
            <w:shd w:fill="FFFFFF"/>
            <w:tcW w:type="dxa" w:w="9566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Borders>
                <w:top w:color="00000A" w:space="0" w:sz="4" w:val="single"/>
                <w:bottom w:color="00000A" w:space="0" w:sz="4" w:val="single"/>
              </w:tblBorders>
              <w:jc w:val="left"/>
              <w:tblInd w:type="dxa" w:w="-108"/>
            </w:tblPr>
            <w:tblGrid>
              <w:gridCol w:w="614"/>
            </w:tblGrid>
            <w:tr>
              <w:trPr>
                <w:trHeight w:hRule="atLeast" w:val="288"/>
                <w:cantSplit w:val="off"/>
              </w:trPr>
              <w:tc>
                <w:tcPr>
                  <w:tcBorders>
                    <w:top w:color="00000A" w:space="0" w:sz="4" w:val="single"/>
                    <w:bottom w:color="00000A" w:space="0" w:sz="4" w:val="single"/>
                  </w:tcBorders>
                  <w:shd w:fill="FFFFFF"/>
                  <w:tcW w:type="dxa" w:w="614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22"/>
                  </w:pPr>
                  <w:r>
                    <w:rPr/>
                  </w:r>
                </w:p>
              </w:tc>
            </w:tr>
            <w:tr>
              <w:trPr>
                <w:trHeight w:hRule="atLeast" w:val="288"/>
                <w:cantSplit w:val="off"/>
              </w:trPr>
              <w:tc>
                <w:tcPr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FFFFFF"/>
                  <w:tcW w:type="dxa" w:w="614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>
                  <w:pPr>
                    <w:pStyle w:val="style22"/>
                  </w:pPr>
                  <w:r>
                    <w:rPr/>
                  </w:r>
                </w:p>
              </w:tc>
            </w:tr>
          </w:tbl>
          <w:p>
            <w:pPr>
              <w:pStyle w:val="style22"/>
            </w:pPr>
            <w:r>
              <w:rPr/>
            </w:r>
          </w:p>
        </w:tc>
      </w:tr>
    </w:tbl>
    <w:p>
      <w:pPr>
        <w:pStyle w:val="style22"/>
      </w:pPr>
      <w:r>
        <w:rPr/>
      </w:r>
    </w:p>
    <w:p>
      <w:pPr>
        <w:pStyle w:val="style22"/>
      </w:pPr>
      <w:r>
        <w:rPr/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0"/>
        <w:jc w:val="right"/>
        <w:widowControl w:val="off"/>
        <w:spacing w:after="0" w:before="0" w:line="100" w:lineRule="atLeast"/>
      </w:pPr>
      <w:r>
        <w:rPr/>
      </w:r>
    </w:p>
    <w:p>
      <w:pPr>
        <w:pStyle w:val="style0"/>
        <w:jc w:val="right"/>
        <w:widowControl w:val="off"/>
        <w:spacing w:after="0" w:before="0" w:line="100" w:lineRule="atLeast"/>
      </w:pPr>
      <w:r>
        <w:rPr/>
      </w:r>
    </w:p>
    <w:p>
      <w:pPr>
        <w:pStyle w:val="style0"/>
        <w:jc w:val="right"/>
        <w:widowControl w:val="off"/>
        <w:spacing w:after="0" w:before="0" w:line="100" w:lineRule="atLeast"/>
      </w:pPr>
      <w:bookmarkStart w:id="9" w:name="Par232"/>
      <w:bookmarkEnd w:id="9"/>
      <w:r>
        <w:rPr>
          <w:sz w:val="28"/>
          <w:szCs w:val="28"/>
          <w:rFonts w:ascii="Times New Roman" w:cs="Times New Roman" w:hAnsi="Times New Roman"/>
        </w:rPr>
        <w:t>Приложение 2</w:t>
      </w:r>
    </w:p>
    <w:p>
      <w:pPr>
        <w:pStyle w:val="style0"/>
        <w:jc w:val="right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к Порядку подготовки заключений</w:t>
      </w:r>
    </w:p>
    <w:p>
      <w:pPr>
        <w:pStyle w:val="style0"/>
        <w:jc w:val="right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об оценке регулирующего</w:t>
      </w:r>
    </w:p>
    <w:p>
      <w:pPr>
        <w:pStyle w:val="style0"/>
        <w:jc w:val="right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воздействия на проекты нормативных</w:t>
      </w:r>
    </w:p>
    <w:p>
      <w:pPr>
        <w:pStyle w:val="style0"/>
        <w:jc w:val="right"/>
        <w:widowControl w:val="off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 xml:space="preserve">правовых актов 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                                               </w:t>
      </w:r>
      <w:r>
        <w:rPr>
          <w:sz w:val="24"/>
          <w:szCs w:val="24"/>
          <w:rFonts w:ascii="Times New Roman" w:cs="Times New Roman" w:hAnsi="Times New Roman"/>
        </w:rPr>
        <w:t>Форма</w:t>
      </w:r>
    </w:p>
    <w:p>
      <w:pPr>
        <w:pStyle w:val="style22"/>
      </w:pPr>
      <w:r>
        <w:rPr/>
      </w:r>
    </w:p>
    <w:p>
      <w:pPr>
        <w:pStyle w:val="style22"/>
      </w:pPr>
      <w:bookmarkStart w:id="10" w:name="Par240"/>
      <w:bookmarkEnd w:id="10"/>
      <w:r>
        <w:rPr>
          <w:sz w:val="24"/>
          <w:szCs w:val="24"/>
          <w:rFonts w:ascii="Times New Roman" w:cs="Times New Roman" w:hAnsi="Times New Roman"/>
        </w:rPr>
        <w:t xml:space="preserve">                                </w:t>
      </w:r>
      <w:r>
        <w:rPr>
          <w:sz w:val="24"/>
          <w:szCs w:val="24"/>
          <w:rFonts w:ascii="Times New Roman" w:cs="Times New Roman" w:hAnsi="Times New Roman"/>
        </w:rPr>
        <w:t>Заключение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</w:t>
      </w:r>
      <w:r>
        <w:rPr>
          <w:sz w:val="24"/>
          <w:szCs w:val="24"/>
          <w:rFonts w:ascii="Times New Roman" w:cs="Times New Roman" w:hAnsi="Times New Roman"/>
        </w:rPr>
        <w:t>о результатах проведения оценки регулирующего воздействия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</w:t>
      </w:r>
      <w:r>
        <w:rPr>
          <w:sz w:val="24"/>
          <w:szCs w:val="24"/>
          <w:rFonts w:ascii="Times New Roman" w:cs="Times New Roman" w:hAnsi="Times New Roman"/>
        </w:rPr>
        <w:t>проекта нормативного правового акта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1. Общая информация.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1.1. Орган-разработчик (уполномоченный орган):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полное и краткое наименования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1.2. Вид и наименование проекта нормативного правового акта: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1.3. Предполагаемая дата вступления в силу нормативного правового акта: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указывается дата; если положения вводятся в действие в разное время, то это указывается в </w:t>
      </w:r>
      <w:hyperlink w:anchor="Par606">
        <w:r>
          <w:rPr>
            <w:rStyle w:val="style16"/>
            <w:color w:val="000000"/>
            <w:sz w:val="16"/>
            <w:szCs w:val="16"/>
            <w:rStyle w:val="style16"/>
            <w:rFonts w:ascii="Times New Roman" w:cs="Times New Roman" w:hAnsi="Times New Roman"/>
          </w:rPr>
          <w:t>разделе 11</w:t>
        </w:r>
      </w:hyperlink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1.4.  Краткое описание проблемы, на решение которой направлено предлагаемое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правовое регулирование: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1.5. Краткое описание целей предлагаемого правового регулирования: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1.6. Краткое описание содержания предлагаемого правового регулирования: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1.7. Срок, в течение которого принимались предложения в связи с размещением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уведомления о разработке предлагаемого правового регулирования: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начало: "___" __________ 201____ г.; окончание: "___"___________ 201____ г.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1.8.  Количество  замечаний и предложений, полученных в связи с размещением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уведомления    о    разработке   предлагаемого   правового   регулирования: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_____________,  из  них  учтено:  полностью: ____________, учтено частично: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1.9.  Полный электронный адрес размещения сводки предложений, поступивших в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связи  с  размещением  уведомления  о  разработке  предлагаемого  правового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регулирования: ____________________________________________________________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1.10. Контактная информация исполнителя в органе-разработчике: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Ф.И.О.: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Должность: 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Тел.: ____________________ Адрес электронной почты: 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                          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2. Описание   проблемы,   на   решение которой направлено  предлагаемое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правовое регулирование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2.1. Формулировка проблемы: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2.2. Информация о возникновении, выявлении проблемы и мерах, принятых ранее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для ее решения, достигнутых результатах и затраченных ресурсах: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2.3.   Социальные   группы,  заинтересованные  в  устранении  проблемы,  их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количественная оценка: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2.4.  Характеристика  негативных  эффектов,  возникающих в связи с наличием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проблемы, их количественная оценка: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2.5.   Причины   возникновения   проблемы   и  факторы,  поддерживающие  ее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существование: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2.6.  Причины  невозможности  решения  проблемы участниками соответствующих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отношений самостоятельно, без вмешательства государства: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  <w:numPr>
          <w:ilvl w:val="1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 xml:space="preserve">Опыт  решения  аналогичных  проблем  в  других  районах Тамбовской области, 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других субъектах  Российской Федерации, иностранных государствах: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2.8. Источники данных: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2.9. Иная информация о проблеме: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3. Определение   целей   предлагаемого   правового   регулирования    и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индикаторов для оценки их достижения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4024"/>
        <w:gridCol w:w="6573"/>
        <w:gridCol w:w="9581"/>
      </w:tblGrid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0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3.1. Цели предлагаемого правового регулирования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5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5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0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(Цель 1)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5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5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0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(Цель 2)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5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5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0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(Цель N)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5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5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3.4.  Действующие  нормативные правовые акты, поручения, другие решения, из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которых   вытекает   необходимость   разработки   предлагаемого   правового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регулирования в данной области, которые определяют необходимость постановки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указанных целей: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</w:t>
      </w:r>
      <w:r>
        <w:rPr>
          <w:sz w:val="16"/>
          <w:szCs w:val="16"/>
          <w:rFonts w:ascii="Times New Roman" w:cs="Times New Roman" w:hAnsi="Times New Roman"/>
        </w:rPr>
        <w:t>указывается нормативный правовой акт более высокого уровня либо инициативный порядок разработки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2492"/>
        <w:gridCol w:w="5381"/>
        <w:gridCol w:w="6796"/>
        <w:gridCol w:w="9350"/>
      </w:tblGrid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4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3.5. Цели предлагаемого правового регулирования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3.7. Ед. измерения индикаторов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3.8. Целевые значения индикаторов по годам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4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(Цель 1)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(Индикатор 1.1)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4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(Индикатор 1.N)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4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(Цель N)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(Индикатор N.1)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4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3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(Индикатор N.N)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3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3.9.  Методы  расчета  индикаторов достижения целей предлагаемого правового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регулирования, источники информации для расчетов:__________________________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3.10.   Оценка   затрат   на   проведение   мониторинга   достижения  целей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предлагаемого правового регулирования: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</w:t>
      </w:r>
      <w:r>
        <w:rPr>
          <w:sz w:val="16"/>
          <w:szCs w:val="16"/>
          <w:rFonts w:ascii="Times New Roman" w:cs="Times New Roman" w:hAnsi="Times New Roman"/>
        </w:rPr>
        <w:t>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24"/>
          <w:szCs w:val="24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4. Качественная   характеристика   и  оценка  численности потенциальных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адресатов предлагаемого правового регулирования (их групп)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3852"/>
        <w:gridCol w:w="6458"/>
        <w:gridCol w:w="8731"/>
      </w:tblGrid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8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bookmarkStart w:id="11" w:name="Par394"/>
            <w:bookmarkEnd w:id="11"/>
            <w:r>
              <w:rPr>
                <w:sz w:val="24"/>
                <w:szCs w:val="24"/>
                <w:rFonts w:ascii="Times New Roman" w:cs="Times New Roman" w:hAnsi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4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4.2. Количество участников группы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7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4.3. Источники данных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8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(Группа 1)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4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7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8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(Группа 2)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4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7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8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(Группа N)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4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7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5.   Изменение   функций   (полномочий,   обязанностей,  прав)  органов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государственной  власти  субъекта  Российской  Федерации  (органов местного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самоуправления),  а  также  порядка  их  реализации  в  связи  с  введением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предлагаемого правового регулирования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2124"/>
        <w:gridCol w:w="3824"/>
        <w:gridCol w:w="5808"/>
        <w:gridCol w:w="7651"/>
        <w:gridCol w:w="9214"/>
      </w:tblGrid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1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bookmarkStart w:id="12" w:name="Par412"/>
            <w:bookmarkEnd w:id="12"/>
            <w:r>
              <w:rPr>
                <w:sz w:val="24"/>
                <w:szCs w:val="24"/>
                <w:rFonts w:ascii="Times New Roman" w:cs="Times New Roman" w:hAnsi="Times New Roman"/>
              </w:rPr>
              <w:t>5.1. Наименование функции (полномочия, обязанности или права)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8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5.2. Характер функции (новая/изменяемая/отменяемая)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5.3. Предполагаемый порядок реализации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5.5. Оценка изменения потребностей в других ресурсах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5"/>
            <w:shd w:fill="FFFFFF"/>
            <w:tcW w:type="dxa" w:w="18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Наименование государственного органа 1: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1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Функция (полномочие, обязанность или право) 1.1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8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1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Функция (полномочие, обязанность или право) 1.N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8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5"/>
            <w:shd w:fill="FFFFFF"/>
            <w:tcW w:type="dxa" w:w="18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Наименование государственного органа К: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1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Функция (полномочие, обязанность или право) К.1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8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1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Функция (полномочие, обязанность или право) К.N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8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6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 xml:space="preserve">6. Оценка дополнительных расходов 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местных бюджетов, связанных с введением предлагаемого правового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регулирования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3071"/>
        <w:gridCol w:w="6142"/>
        <w:gridCol w:w="9214"/>
      </w:tblGrid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0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6.1. Наименование функции (полномочия, обязанности или права) (в соответствии с </w:t>
            </w:r>
            <w:hyperlink w:anchor="Par412">
              <w:r>
                <w:rPr>
                  <w:rStyle w:val="style16"/>
                  <w:color w:val="0000FF"/>
                  <w:sz w:val="24"/>
                  <w:szCs w:val="24"/>
                  <w:rStyle w:val="style16"/>
                  <w:rFonts w:ascii="Times New Roman" w:cs="Times New Roman" w:hAnsi="Times New Roman"/>
                </w:rPr>
                <w:t>пунктом 5.1</w:t>
              </w:r>
            </w:hyperlink>
            <w:r>
              <w:rPr>
                <w:sz w:val="24"/>
                <w:szCs w:val="24"/>
                <w:rFonts w:ascii="Times New Roman" w:cs="Times New Roman" w:hAnsi="Times New Roman"/>
              </w:rPr>
              <w:t>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1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6.2. Виды расходов (возможных поступлений) местных бюджетов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6.3. Количественная оценка расходов и возможных поступлений, млн. рублей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4"/>
            <w:shd w:fill="FFFFFF"/>
            <w:tcW w:type="dxa" w:w="30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Наименование органа местного самоуправления (от 1 до К):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restart"/>
            <w:shd w:fill="FFFFFF"/>
            <w:tcW w:type="dxa" w:w="30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Функция (полномочие, обязанность или право) 1.1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1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Единовременные расходы (от 1 до N) в ______ г.: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30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1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Периодические расходы (от 1 до N) за _____ период гг.: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30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1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Возможные доходы (от 1 до N) за период _________ гг.: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restart"/>
            <w:shd w:fill="FFFFFF"/>
            <w:tcW w:type="dxa" w:w="30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Функция (полномочие, обязанность или право) 1.N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1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Единовременные расходы (от 1 до N) в ____ г.: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30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1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Периодические расходы (от 1 до N) за период _____ гг.: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30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1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Возможные доходы (от 1 до N) за период _________ гг.: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2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0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Итого единовременные расходы за период ______ гг.: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1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0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Итого периодические расходы за период ________ гг.: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1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0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Итого возможные доходы за период _________ гг.: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1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6.4.  Другие  сведения о дополнительных расходах (доходах) 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местных  бюджетов, возникающих в связи с введением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предлагаемого правового регулирования: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6.5. Источники данных: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7.  Изменение  обязанностей   (ограничений)   потенциальных   адресатов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предлагаемого  правового  регулирования  и  связанные с ними дополнительные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расходы (доходы)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2549"/>
        <w:gridCol w:w="4817"/>
        <w:gridCol w:w="6941"/>
        <w:gridCol w:w="9070"/>
      </w:tblGrid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94">
              <w:r>
                <w:rPr>
                  <w:rStyle w:val="style16"/>
                  <w:color w:val="0000FF"/>
                  <w:sz w:val="24"/>
                  <w:szCs w:val="24"/>
                  <w:rStyle w:val="style16"/>
                  <w:rFonts w:ascii="Times New Roman" w:cs="Times New Roman" w:hAnsi="Times New Roman"/>
                </w:rPr>
                <w:t>п. 4.1</w:t>
              </w:r>
            </w:hyperlink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сводного отчета)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9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0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7.4. Количественная оценка, млн. рублей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restart"/>
            <w:shd w:fill="FFFFFF"/>
            <w:tcW w:type="dxa" w:w="25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Группа 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9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0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25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9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0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restart"/>
            <w:shd w:fill="FFFFFF"/>
            <w:tcW w:type="dxa" w:w="25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Группа 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9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0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25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9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0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7.5.  Издержки и выгоды адресатов предлагаемого правового регулирования, не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поддающиеся количественной оценке: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7.6. Источники данных: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8. Оценка  рисков  неблагоприятных последствий применения предлагаемого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правового регулирования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2605"/>
        <w:gridCol w:w="5098"/>
        <w:gridCol w:w="7083"/>
        <w:gridCol w:w="9069"/>
      </w:tblGrid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6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8.1. Виды рисков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0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0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8.3. Методы контроля рисков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0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8.4. Степень контроля рисков (полный/частичный/отсутствует)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6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Риск 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0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0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0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6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Риск 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0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0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0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8.5. Источники данных: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9. Сравнение возможных вариантов решения проблемы</w:t>
      </w:r>
    </w:p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3967"/>
        <w:gridCol w:w="5540"/>
        <w:gridCol w:w="7257"/>
        <w:gridCol w:w="8893"/>
      </w:tblGrid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9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Вариант 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2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Вариант 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Вариант N</w:t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9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9.1. Содержание варианта решения проблемы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2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9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2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9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2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9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9.4. Оценка расходов (доходов) бюджета, связанных с введением предлагаемого правового регулирования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2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9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2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28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9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9.6. Оценка рисков неблагоприятных последствий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5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2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off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jc w:val="both"/>
        <w:widowControl w:val="off"/>
        <w:spacing w:after="0" w:before="0" w:line="100" w:lineRule="atLeast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9.7. Обоснование   выбора   предпочтительного   варианта решения выявленной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проблемы: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9.8. Детальное описание предлагаемого варианта решения проблемы: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10. Оценка необходимости установления   переходного   периода   и (или)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отсрочки  вступления  в силу нормативного правового акта либо необходимость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распространения предлагаемого  правового   регулирования на ранее возникшие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отношения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10.1. Предполагаемая дата вступления в силу нормативного правового акта: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>если положения вводятся в действие в разное время, указывается статья/пункт проекта акта и дата введения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10.2.  Необходимость  установления  переходного  периода  и  (или) отсрочки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введения предлагаемого правового регулирования: есть (нет)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срок   переходного   периода:   _____   дней  с  момента  принятия  проекта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нормативного правового акта;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отсрочка  введения  предлагаемого  правового  регулирования:  _____  дней с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момента принятия проекта нормативного правового акта.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10.3.  Необходимость  распространения предлагаемого правового регулирования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на ранее возникшие отношения: есть (нет).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10.3.1.  Период  распространения на ранее возникшие отношения: _____ дней с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момента принятия проекта нормативного правового акта.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10.4.  Обоснование  необходимости  установления переходного периода и (или)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отсрочки  вступления  в силу нормативного правового акта либо необходимость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распространения  предлагаемого  правового  регулирования на ранее возникшие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отношения: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Заполняется   по   итогам  проведения  публичных  консультаций  по  проекту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нормативного правового акта и сводного отчета:</w:t>
      </w:r>
    </w:p>
    <w:p>
      <w:pPr>
        <w:pStyle w:val="style22"/>
      </w:pPr>
      <w:r>
        <w:rPr/>
      </w:r>
    </w:p>
    <w:p>
      <w:pPr>
        <w:pStyle w:val="style22"/>
      </w:pPr>
      <w:bookmarkStart w:id="13" w:name="Par606"/>
      <w:bookmarkEnd w:id="13"/>
      <w:r>
        <w:rPr>
          <w:sz w:val="24"/>
          <w:szCs w:val="24"/>
          <w:rFonts w:ascii="Times New Roman" w:cs="Times New Roman" w:hAnsi="Times New Roman"/>
        </w:rPr>
        <w:t xml:space="preserve">    </w:t>
      </w:r>
      <w:r>
        <w:rPr>
          <w:sz w:val="24"/>
          <w:szCs w:val="24"/>
          <w:rFonts w:ascii="Times New Roman" w:cs="Times New Roman" w:hAnsi="Times New Roman"/>
        </w:rPr>
        <w:t>11. Информация  о  сроках  проведения публичных консультаций по проекту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нормативного правового акта и сводному отчету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11.1. Срок, в течение которого принимались предложения в связи с публичными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консультациями  по проекту нормативного правового акта и сводному отчету об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оценке регулирующего воздействия: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начало: "___" ___________ 201__ г.;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окончание: "___" ___________ 201__ г.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11.2.  Сведения  о  количестве  замечаний  и предложений, полученных в ходе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публичных консультаций по проекту нормативного правового акта: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Всего замечаний и предложений: __________, из них учтено: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полностью: _____________, учтено частично: _____________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11.3.  Полный  электронный адрес размещения сводки предложений, поступивших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по   итогам  проведения  публичных  консультаций  по  проекту  нормативного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правового акта: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___________________________________________________________________________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 xml:space="preserve">                       </w:t>
      </w:r>
      <w:r>
        <w:rPr>
          <w:sz w:val="16"/>
          <w:szCs w:val="16"/>
          <w:rFonts w:ascii="Times New Roman" w:cs="Times New Roman" w:hAnsi="Times New Roman"/>
        </w:rPr>
        <w:t>место для текстового описания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Приложение.  Сводки предложений, поступивших в ходе публичных консультаций,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проводившихся  в  ходе  процедуры ОРВ, с указанием сведений об их учете или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причинах отклонения.</w:t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Иные  приложения  (по  усмотрению  органа, проводящего оценку регулирующего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воздействия).</w:t>
      </w:r>
    </w:p>
    <w:p>
      <w:pPr>
        <w:pStyle w:val="style22"/>
      </w:pPr>
      <w:r>
        <w:rPr/>
      </w:r>
    </w:p>
    <w:p>
      <w:pPr>
        <w:pStyle w:val="style22"/>
      </w:pPr>
      <w:r>
        <w:rPr/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>Глава администрации района                                                              ___________________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  <w:rFonts w:ascii="Times New Roman" w:cs="Times New Roman" w:hAnsi="Times New Roman"/>
        </w:rPr>
        <w:t>(инициалы, фамилия)</w:t>
      </w:r>
      <w:r>
        <w:rPr>
          <w:sz w:val="24"/>
          <w:szCs w:val="24"/>
          <w:rFonts w:ascii="Times New Roman" w:cs="Times New Roman" w:hAnsi="Times New Roman"/>
        </w:rPr>
        <w:t xml:space="preserve">    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  <w:t xml:space="preserve">___________________________             </w:t>
      </w:r>
    </w:p>
    <w:p>
      <w:pPr>
        <w:pStyle w:val="style22"/>
      </w:pPr>
      <w:r>
        <w:rPr>
          <w:sz w:val="16"/>
          <w:szCs w:val="16"/>
          <w:rFonts w:ascii="Times New Roman" w:cs="Times New Roman" w:hAnsi="Times New Roman"/>
        </w:rPr>
        <w:t>Дата         Подпись</w:t>
      </w:r>
    </w:p>
    <w:sectPr>
      <w:formProt w:val="off"/>
      <w:pgSz w:h="16838" w:w="11906"/>
      <w:docGrid w:charSpace="12288" w:linePitch="28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7"/>
      <w:numFmt w:val="decimal"/>
      <w:lvlJc w:val="left"/>
      <w:lvlText w:val="%1.%2."/>
      <w:pPr>
        <w:ind w:hanging="465" w:left="825"/>
      </w:pPr>
    </w:lvl>
    <w:lvl w:ilvl="2">
      <w:start w:val="1"/>
      <w:numFmt w:val="decimal"/>
      <w:lvlJc w:val="left"/>
      <w:lvlText w:val="%1.%2.%3."/>
      <w:pPr>
        <w:ind w:hanging="720" w:left="1080"/>
      </w:pPr>
    </w:lvl>
    <w:lvl w:ilvl="3">
      <w:start w:val="1"/>
      <w:numFmt w:val="decimal"/>
      <w:lvlJc w:val="left"/>
      <w:lvlText w:val="%1.%2.%3.%4."/>
      <w:pPr>
        <w:ind w:hanging="720" w:left="1080"/>
      </w:pPr>
    </w:lvl>
    <w:lvl w:ilvl="4">
      <w:start w:val="1"/>
      <w:numFmt w:val="decimal"/>
      <w:lvlJc w:val="left"/>
      <w:lvlText w:val="%1.%2.%3.%4.%5."/>
      <w:pPr>
        <w:ind w:hanging="1080" w:left="1440"/>
      </w:pPr>
    </w:lvl>
    <w:lvl w:ilvl="5">
      <w:start w:val="1"/>
      <w:numFmt w:val="decimal"/>
      <w:lvlJc w:val="left"/>
      <w:lvlText w:val="%1.%2.%3.%4.%5.%6."/>
      <w:pPr>
        <w:ind w:hanging="1080" w:left="1440"/>
      </w:pPr>
    </w:lvl>
    <w:lvl w:ilvl="6">
      <w:start w:val="1"/>
      <w:numFmt w:val="decimal"/>
      <w:lvlJc w:val="left"/>
      <w:lvlText w:val="%1.%2.%3.%4.%5.%6.%7."/>
      <w:pPr>
        <w:ind w:hanging="1440" w:left="1800"/>
      </w:pPr>
    </w:lvl>
    <w:lvl w:ilvl="7">
      <w:start w:val="1"/>
      <w:numFmt w:val="decimal"/>
      <w:lvlJc w:val="left"/>
      <w:lvlText w:val="%1.%2.%3.%4.%5.%6.%7.%8."/>
      <w:pPr>
        <w:ind w:hanging="1440" w:left="1800"/>
      </w:pPr>
    </w:lvl>
    <w:lvl w:ilvl="8">
      <w:start w:val="1"/>
      <w:numFmt w:val="decimal"/>
      <w:lvlJc w:val="left"/>
      <w:lvlText w:val="%1.%2.%3.%4.%5.%6.%7.%8.%9."/>
      <w:pPr>
        <w:ind w:hanging="1800" w:left="216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Calibri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80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ConsPlusNonformat"/>
    <w:next w:val="style22"/>
    <w:pPr>
      <w:widowControl w:val="off"/>
      <w:tabs>
        <w:tab w:leader="none" w:pos="708" w:val="left"/>
      </w:tabs>
      <w:suppressAutoHyphens w:val="true"/>
      <w:spacing w:after="0" w:before="0" w:line="100" w:lineRule="atLeast"/>
    </w:pPr>
    <w:rPr>
      <w:color w:val="00000A"/>
      <w:sz w:val="20"/>
      <w:szCs w:val="20"/>
      <w:rFonts w:ascii="Courier New" w:cs="Courier New" w:eastAsia="SimSun" w:hAnsi="Courier New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LibreOffice/3.5$Windows_x86 LibreOffice_project/281b639-6baa1d3-ef66a77-d866f25-f36d45f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2015-04-15T05:10:00.00Z</dcterms:created>
  <dc:creator>Людмила</dc:creator>
  <cp:lastModifiedBy>Людмила</cp:lastModifiedBy>
  <cp:lastPrinted>2015-04-08T13:41:00.00Z</cp:lastPrinted>
  <dcterms:modified xsi:type="dcterms:W3CDTF">2015-04-15T05:10:00.00Z</dcterms:modified>
  <cp:revision>2</cp:revision>
</cp:coreProperties>
</file>