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C80" w:rsidRDefault="00BF75CC">
      <w:pPr>
        <w:pStyle w:val="a9"/>
        <w:widowControl w:val="0"/>
        <w:spacing w:line="240" w:lineRule="exact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УТВЕРЖДЕН</w:t>
      </w:r>
    </w:p>
    <w:p w:rsidR="002C0C80" w:rsidRDefault="00BF75CC">
      <w:pPr>
        <w:pStyle w:val="a9"/>
        <w:widowControl w:val="0"/>
        <w:spacing w:line="240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</w:t>
      </w:r>
    </w:p>
    <w:p w:rsidR="002C0C80" w:rsidRDefault="00BF75CC">
      <w:pPr>
        <w:pStyle w:val="a9"/>
        <w:widowControl w:val="0"/>
        <w:spacing w:line="240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Знаменской территориальной </w:t>
      </w:r>
    </w:p>
    <w:p w:rsidR="002C0C80" w:rsidRDefault="00BF75CC">
      <w:pPr>
        <w:pStyle w:val="a9"/>
        <w:widowControl w:val="0"/>
        <w:spacing w:line="240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избирательной комиссии</w:t>
      </w:r>
    </w:p>
    <w:p w:rsidR="002C0C80" w:rsidRDefault="00BF75CC">
      <w:pPr>
        <w:pStyle w:val="a9"/>
        <w:widowControl w:val="0"/>
        <w:spacing w:line="240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08.07.2026 № 4/23-8</w:t>
      </w:r>
    </w:p>
    <w:p w:rsidR="002C0C80" w:rsidRDefault="002C0C80">
      <w:pPr>
        <w:pStyle w:val="a9"/>
        <w:widowControl w:val="0"/>
        <w:spacing w:line="240" w:lineRule="exact"/>
        <w:jc w:val="right"/>
        <w:rPr>
          <w:rFonts w:ascii="Times New Roman" w:hAnsi="Times New Roman"/>
          <w:sz w:val="28"/>
          <w:szCs w:val="28"/>
        </w:rPr>
      </w:pPr>
    </w:p>
    <w:p w:rsidR="002C0C80" w:rsidRDefault="002C0C80">
      <w:pPr>
        <w:pStyle w:val="a9"/>
        <w:widowControl w:val="0"/>
        <w:spacing w:line="240" w:lineRule="exact"/>
        <w:jc w:val="right"/>
        <w:rPr>
          <w:rFonts w:ascii="Times New Roman" w:hAnsi="Times New Roman"/>
          <w:sz w:val="28"/>
          <w:szCs w:val="28"/>
        </w:rPr>
      </w:pPr>
    </w:p>
    <w:p w:rsidR="002C0C80" w:rsidRDefault="002C0C80">
      <w:pPr>
        <w:pStyle w:val="a9"/>
        <w:widowControl w:val="0"/>
        <w:spacing w:line="240" w:lineRule="exact"/>
        <w:jc w:val="right"/>
        <w:rPr>
          <w:rFonts w:ascii="Times New Roman" w:hAnsi="Times New Roman"/>
          <w:sz w:val="28"/>
          <w:szCs w:val="28"/>
        </w:rPr>
      </w:pPr>
    </w:p>
    <w:p w:rsidR="002C0C80" w:rsidRDefault="002C0C80">
      <w:pPr>
        <w:pStyle w:val="a9"/>
        <w:widowControl w:val="0"/>
        <w:spacing w:line="240" w:lineRule="exact"/>
        <w:jc w:val="right"/>
        <w:rPr>
          <w:rFonts w:ascii="Times New Roman" w:hAnsi="Times New Roman"/>
          <w:sz w:val="28"/>
          <w:szCs w:val="28"/>
        </w:rPr>
      </w:pPr>
    </w:p>
    <w:p w:rsidR="002C0C80" w:rsidRDefault="00BF75CC">
      <w:pPr>
        <w:pStyle w:val="a9"/>
        <w:widowControl w:val="0"/>
        <w:jc w:val="center"/>
        <w:rPr>
          <w:rFonts w:ascii="Nimbus Roman" w:hAnsi="Nimbus Roman"/>
          <w:sz w:val="28"/>
          <w:szCs w:val="28"/>
        </w:rPr>
      </w:pPr>
      <w:r>
        <w:rPr>
          <w:rFonts w:ascii="Nimbus Roman" w:hAnsi="Nimbus Roman"/>
          <w:sz w:val="28"/>
          <w:szCs w:val="28"/>
        </w:rPr>
        <w:t xml:space="preserve">Текст информационного сообщения о приеме предложений </w:t>
      </w:r>
      <w:r>
        <w:rPr>
          <w:rFonts w:ascii="Nimbus Roman" w:hAnsi="Nimbus Roman"/>
          <w:sz w:val="28"/>
          <w:szCs w:val="28"/>
        </w:rPr>
        <w:br w:type="textWrapping" w:clear="all"/>
      </w:r>
      <w:r>
        <w:rPr>
          <w:rFonts w:ascii="Nimbus Roman" w:hAnsi="Nimbus Roman"/>
          <w:sz w:val="28"/>
          <w:szCs w:val="28"/>
        </w:rPr>
        <w:t xml:space="preserve">по кандидатурам для дополнительного зачисления в резерв составов участковых комиссий, сформированный для Знаменской территориальной избирательной комиссии </w:t>
      </w:r>
    </w:p>
    <w:p w:rsidR="002C0C80" w:rsidRDefault="00BF75CC">
      <w:pPr>
        <w:pStyle w:val="a5"/>
        <w:widowControl w:val="0"/>
        <w:jc w:val="center"/>
        <w:rPr>
          <w:rFonts w:ascii="Nimbus Roman" w:hAnsi="Nimbus Roman"/>
          <w:sz w:val="28"/>
          <w:szCs w:val="28"/>
        </w:rPr>
      </w:pPr>
      <w:r>
        <w:rPr>
          <w:rFonts w:ascii="Nimbus Roman" w:hAnsi="Nimbus Roman"/>
          <w:sz w:val="28"/>
          <w:szCs w:val="28"/>
        </w:rPr>
        <w:t> </w:t>
      </w:r>
    </w:p>
    <w:p w:rsidR="002C0C80" w:rsidRDefault="00BF75CC">
      <w:pPr>
        <w:pStyle w:val="a5"/>
        <w:widowControl w:val="0"/>
        <w:spacing w:after="0"/>
        <w:ind w:firstLine="284"/>
        <w:jc w:val="both"/>
        <w:rPr>
          <w:rFonts w:ascii="Nimbus Roman" w:hAnsi="Nimbus Roman"/>
        </w:rPr>
      </w:pPr>
      <w:r>
        <w:rPr>
          <w:rFonts w:ascii="Nimbus Roman" w:hAnsi="Nimbus Roman"/>
          <w:color w:val="000000"/>
        </w:rPr>
        <w:t xml:space="preserve">    В связи с назначением на 20 сентября 2026 года выборов депутатов Государственной Думы Федераль</w:t>
      </w:r>
      <w:r>
        <w:rPr>
          <w:rFonts w:ascii="Nimbus Roman" w:hAnsi="Nimbus Roman"/>
          <w:color w:val="000000"/>
        </w:rPr>
        <w:t>ного Собрания Российской Федерации девятого созыва и выборов депутатов Тамбовской областной Думы восьмого созыва, в соответствии с пунктом 51 статьи 27 Федерального закона от 12 июля 2002 года № 67-ФЗ «Об основных гарантиях избирательных прав и права на уч</w:t>
      </w:r>
      <w:r>
        <w:rPr>
          <w:rFonts w:ascii="Nimbus Roman" w:hAnsi="Nimbus Roman"/>
          <w:color w:val="000000"/>
        </w:rPr>
        <w:t>астие в референдуме граждан Российской Федерации», пунктами 12 и 14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</w:t>
      </w:r>
      <w:r>
        <w:rPr>
          <w:rFonts w:ascii="Nimbus Roman" w:hAnsi="Nimbus Roman"/>
          <w:color w:val="000000"/>
        </w:rPr>
        <w:t>бирательной комиссии Российской Федерации от 5 декабря 2012 года № 152/1137-6, Знаменская  территориальная избирательная комиссия объявляет прием предложений по кандидатурам для дополнительного зачисления в резерв составов участковых комиссий, сформированн</w:t>
      </w:r>
      <w:r>
        <w:rPr>
          <w:rFonts w:ascii="Nimbus Roman" w:hAnsi="Nimbus Roman"/>
          <w:color w:val="000000"/>
        </w:rPr>
        <w:t>ый для Знаменской территориальной избирательной комиссии.</w:t>
      </w:r>
    </w:p>
    <w:p w:rsidR="002C0C80" w:rsidRDefault="00BF75CC">
      <w:pPr>
        <w:pStyle w:val="a5"/>
        <w:widowControl w:val="0"/>
        <w:spacing w:after="0"/>
        <w:ind w:firstLine="284"/>
        <w:jc w:val="both"/>
        <w:rPr>
          <w:rFonts w:ascii="Nimbus Roman" w:hAnsi="Nimbus Roman"/>
        </w:rPr>
      </w:pPr>
      <w:r>
        <w:rPr>
          <w:rFonts w:ascii="Nimbus Roman" w:hAnsi="Nimbus Roman"/>
          <w:color w:val="000000"/>
        </w:rPr>
        <w:t xml:space="preserve">    Прием указанных предложений и необходимых документов осуществляется в период  с 11 по 31 июля 2026 года включительно (по рабочим дням с 9 ч. 00 м. до 12 ч. </w:t>
      </w:r>
      <w:r>
        <w:rPr>
          <w:rFonts w:ascii="Nimbus Roman" w:hAnsi="Nimbus Roman"/>
          <w:color w:val="000000"/>
        </w:rPr>
        <w:br/>
        <w:t> 00 м.) по адресу: Тамбовская область</w:t>
      </w:r>
      <w:r>
        <w:rPr>
          <w:rFonts w:ascii="Nimbus Roman" w:hAnsi="Nimbus Roman"/>
          <w:color w:val="000000"/>
        </w:rPr>
        <w:t xml:space="preserve">, Знаменский муниципальный округ, </w:t>
      </w:r>
      <w:proofErr w:type="spellStart"/>
      <w:r>
        <w:rPr>
          <w:rFonts w:ascii="Nimbus Roman" w:hAnsi="Nimbus Roman"/>
          <w:color w:val="000000"/>
        </w:rPr>
        <w:t>р.п</w:t>
      </w:r>
      <w:proofErr w:type="spellEnd"/>
      <w:r>
        <w:rPr>
          <w:rFonts w:ascii="Nimbus Roman" w:hAnsi="Nimbus Roman"/>
          <w:color w:val="000000"/>
        </w:rPr>
        <w:t>. Знаменка, ул. Красная площадь, д.3.</w:t>
      </w:r>
    </w:p>
    <w:p w:rsidR="002C0C80" w:rsidRDefault="00BF75CC">
      <w:pPr>
        <w:pStyle w:val="a5"/>
        <w:widowControl w:val="0"/>
        <w:spacing w:after="0"/>
        <w:jc w:val="both"/>
        <w:rPr>
          <w:rFonts w:ascii="Nimbus Roman" w:hAnsi="Nimbus Roman"/>
        </w:rPr>
      </w:pPr>
      <w:r>
        <w:rPr>
          <w:rFonts w:ascii="Nimbus Roman" w:hAnsi="Nimbus Roman"/>
          <w:color w:val="000000"/>
        </w:rPr>
        <w:t xml:space="preserve">      При внесении предложений по кандидатурам для дополнительного зачисления в резерв составов участковых комиссий, сформированный для Знаменской территориальной избирательной коми</w:t>
      </w:r>
      <w:r>
        <w:rPr>
          <w:rFonts w:ascii="Nimbus Roman" w:hAnsi="Nimbus Roman"/>
          <w:color w:val="000000"/>
        </w:rPr>
        <w:t>ссии, в Знаменскую территориальную избирательную комиссию в вышеуказанные сроки необходимо представить документы по нижеследующему перечню.</w:t>
      </w:r>
    </w:p>
    <w:p w:rsidR="002C0C80" w:rsidRDefault="002C0C80">
      <w:pPr>
        <w:pStyle w:val="a9"/>
        <w:widowControl w:val="0"/>
        <w:jc w:val="both"/>
        <w:rPr>
          <w:rFonts w:ascii="Nimbus Roman" w:hAnsi="Nimbus Roman"/>
          <w:sz w:val="24"/>
          <w:szCs w:val="24"/>
        </w:rPr>
      </w:pPr>
    </w:p>
    <w:p w:rsidR="002C0C80" w:rsidRDefault="00BF75CC">
      <w:pPr>
        <w:widowControl w:val="0"/>
        <w:ind w:firstLine="284"/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  Для политических партий, их региональных отделений, иных структурных подразделений:</w:t>
      </w:r>
    </w:p>
    <w:p w:rsidR="002C0C80" w:rsidRDefault="00BF75CC">
      <w:pPr>
        <w:widowControl w:val="0"/>
        <w:ind w:firstLine="284"/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    1) решение полномочного (</w:t>
      </w:r>
      <w:r>
        <w:rPr>
          <w:rFonts w:ascii="Nimbus Roman" w:hAnsi="Nimbus Roman"/>
        </w:rPr>
        <w:t>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</w:t>
      </w:r>
      <w:r>
        <w:rPr>
          <w:rFonts w:ascii="Nimbus Roman" w:hAnsi="Nimbus Roman"/>
        </w:rPr>
        <w:t>ава политической партии;</w:t>
      </w:r>
    </w:p>
    <w:p w:rsidR="002C0C80" w:rsidRDefault="00BF75CC">
      <w:pPr>
        <w:widowControl w:val="0"/>
        <w:ind w:firstLine="284"/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  2) 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</w:t>
      </w:r>
      <w:r>
        <w:rPr>
          <w:rFonts w:ascii="Nimbus Roman" w:hAnsi="Nimbus Roman"/>
        </w:rPr>
        <w:t>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</w:t>
      </w:r>
      <w:r>
        <w:rPr>
          <w:rFonts w:ascii="Nimbus Roman" w:hAnsi="Nimbus Roman"/>
        </w:rPr>
        <w:t>етствии с требованиями устава.</w:t>
      </w:r>
    </w:p>
    <w:p w:rsidR="002C0C80" w:rsidRDefault="00BF75CC">
      <w:pPr>
        <w:widowControl w:val="0"/>
        <w:ind w:firstLine="284"/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      Для иных общественных объединений:</w:t>
      </w:r>
    </w:p>
    <w:p w:rsidR="002C0C80" w:rsidRDefault="00BF75CC">
      <w:pPr>
        <w:widowControl w:val="0"/>
        <w:ind w:firstLine="284"/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   1) нотариально удостоверенная или заверенная уполномоченным на то органом </w:t>
      </w:r>
      <w:r>
        <w:rPr>
          <w:rFonts w:ascii="Nimbus Roman" w:hAnsi="Nimbus Roman"/>
        </w:rPr>
        <w:lastRenderedPageBreak/>
        <w:t>общественного объединения копия действующего устава общественного объединения;</w:t>
      </w:r>
    </w:p>
    <w:p w:rsidR="002C0C80" w:rsidRDefault="00BF75CC">
      <w:pPr>
        <w:widowControl w:val="0"/>
        <w:ind w:firstLine="284"/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  2) решение полномочного (р</w:t>
      </w:r>
      <w:r>
        <w:rPr>
          <w:rFonts w:ascii="Nimbus Roman" w:hAnsi="Nimbus Roman"/>
        </w:rPr>
        <w:t>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</w:t>
      </w:r>
      <w:r>
        <w:rPr>
          <w:rFonts w:ascii="Nimbus Roman" w:hAnsi="Nimbus Roman"/>
        </w:rPr>
        <w:t>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объединения;</w:t>
      </w:r>
    </w:p>
    <w:p w:rsidR="002C0C80" w:rsidRDefault="00BF75CC">
      <w:pPr>
        <w:widowControl w:val="0"/>
        <w:ind w:firstLine="284"/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  3) если предложение о кандидатурах</w:t>
      </w:r>
      <w:r>
        <w:rPr>
          <w:rFonts w:ascii="Nimbus Roman" w:hAnsi="Nimbus Roman"/>
        </w:rPr>
        <w:t xml:space="preserve"> вносит региональное отделение, иное структурное подразделение общественного объединения, а в уставе общественного объединения указанный в пункте 2 вопрос не урегулирован, - решение органа общественного объединения, уполномоченного в соответствии с уставом</w:t>
      </w:r>
      <w:r>
        <w:rPr>
          <w:rFonts w:ascii="Nimbus Roman" w:hAnsi="Nimbus Roman"/>
        </w:rPr>
        <w:t xml:space="preserve">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</w:t>
      </w:r>
      <w:r>
        <w:rPr>
          <w:rFonts w:ascii="Nimbus Roman" w:hAnsi="Nimbus Roman"/>
        </w:rPr>
        <w:t>ов участковых комиссий.</w:t>
      </w:r>
    </w:p>
    <w:p w:rsidR="002C0C80" w:rsidRDefault="00BF75CC">
      <w:pPr>
        <w:widowControl w:val="0"/>
        <w:ind w:firstLine="284"/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   Для иных субъектов права внесения кандидатур в резерв составов участковых комиссий:</w:t>
      </w:r>
    </w:p>
    <w:p w:rsidR="002C0C80" w:rsidRDefault="00BF75CC">
      <w:pPr>
        <w:widowControl w:val="0"/>
        <w:ind w:firstLine="284"/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    решение представительного органа муниципального образования, протокол собрания избирателей по месту жительства, работы, службы, учебы.</w:t>
      </w:r>
    </w:p>
    <w:p w:rsidR="002C0C80" w:rsidRDefault="00BF75CC">
      <w:pPr>
        <w:widowControl w:val="0"/>
        <w:ind w:firstLine="284"/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  </w:t>
      </w:r>
      <w:r>
        <w:rPr>
          <w:rFonts w:ascii="Nimbus Roman" w:hAnsi="Nimbus Roman"/>
        </w:rPr>
        <w:t>Кроме того, всеми субъектами права внесения кандидатур должны быть представлены:</w:t>
      </w:r>
    </w:p>
    <w:p w:rsidR="002C0C80" w:rsidRDefault="00BF75CC">
      <w:pPr>
        <w:widowControl w:val="0"/>
        <w:ind w:firstLine="284"/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    1) 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</w:t>
      </w:r>
      <w:r>
        <w:rPr>
          <w:rFonts w:ascii="Nimbus Roman" w:hAnsi="Nimbus Roman"/>
        </w:rPr>
        <w:t>частковых комиссий (по форме согласно приложению № 1 к Порядку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утвержденному постановлением Центральной избирательной к</w:t>
      </w:r>
      <w:r>
        <w:rPr>
          <w:rFonts w:ascii="Nimbus Roman" w:hAnsi="Nimbus Roman"/>
        </w:rPr>
        <w:t xml:space="preserve">омиссии Российской Федерации </w:t>
      </w:r>
      <w:r>
        <w:rPr>
          <w:rFonts w:ascii="Nimbus Roman" w:hAnsi="Nimbus Roman"/>
        </w:rPr>
        <w:br/>
        <w:t>от 5 декабря 2012 года № 152/1137-6);</w:t>
      </w:r>
    </w:p>
    <w:p w:rsidR="002C0C80" w:rsidRDefault="00BF75CC">
      <w:pPr>
        <w:widowControl w:val="0"/>
        <w:ind w:firstLine="284"/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   2) 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</w:t>
      </w:r>
      <w:r>
        <w:rPr>
          <w:rFonts w:ascii="Nimbus Roman" w:hAnsi="Nimbus Roman"/>
        </w:rPr>
        <w:t>исления в резерв составов участковых комиссий.</w:t>
      </w:r>
    </w:p>
    <w:p w:rsidR="002C0C80" w:rsidRDefault="002C0C80">
      <w:pPr>
        <w:widowControl w:val="0"/>
        <w:ind w:firstLine="284"/>
        <w:jc w:val="both"/>
        <w:rPr>
          <w:rFonts w:ascii="Nimbus Roman" w:hAnsi="Nimbus Roman"/>
        </w:rPr>
      </w:pPr>
    </w:p>
    <w:p w:rsidR="002C0C80" w:rsidRDefault="00BF75CC">
      <w:pPr>
        <w:widowControl w:val="0"/>
        <w:ind w:firstLine="284"/>
        <w:jc w:val="both"/>
      </w:pPr>
      <w:r>
        <w:rPr>
          <w:rFonts w:ascii="Nimbus Roman" w:hAnsi="Nimbus Roman"/>
        </w:rPr>
        <w:t xml:space="preserve">   В соответствии с пунктом 6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</w:t>
      </w:r>
      <w:hyperlink w:anchor="sub_0">
        <w:r>
          <w:rPr>
            <w:rFonts w:ascii="Nimbus Roman" w:hAnsi="Nimbus Roman"/>
          </w:rPr>
          <w:t>постановлением</w:t>
        </w:r>
      </w:hyperlink>
      <w:r>
        <w:rPr>
          <w:rFonts w:ascii="Nimbus Roman" w:hAnsi="Nimbus Roman"/>
        </w:rPr>
        <w:t xml:space="preserve"> Центральной избирательной комиссии Российской Федерации от 5 декабря 2012 года № 152/1137-6, в резерв составов участковых избирательных комиссий не зачисляются кандидатуры, не соответствующие требованиям, установленным </w:t>
      </w:r>
      <w:hyperlink r:id="rId4">
        <w:r>
          <w:rPr>
            <w:rFonts w:ascii="Nimbus Roman" w:hAnsi="Nimbus Roman"/>
          </w:rPr>
          <w:t>пунктом 1 статьи 29</w:t>
        </w:r>
      </w:hyperlink>
      <w:r>
        <w:rPr>
          <w:rFonts w:ascii="Nimbus Roman" w:hAnsi="Nimbus Roman"/>
        </w:rPr>
        <w:t xml:space="preserve"> (за исключением </w:t>
      </w:r>
      <w:hyperlink r:id="rId5">
        <w:r>
          <w:rPr>
            <w:rFonts w:ascii="Nimbus Roman" w:hAnsi="Nimbus Roman"/>
          </w:rPr>
          <w:t>подпунктов «ж»</w:t>
        </w:r>
      </w:hyperlink>
      <w:r>
        <w:rPr>
          <w:rFonts w:ascii="Nimbus Roman" w:hAnsi="Nimbus Roman"/>
        </w:rPr>
        <w:t>, «</w:t>
      </w:r>
      <w:hyperlink r:id="rId6">
        <w:r>
          <w:rPr>
            <w:rFonts w:ascii="Nimbus Roman" w:hAnsi="Nimbus Roman"/>
          </w:rPr>
          <w:t>з</w:t>
        </w:r>
      </w:hyperlink>
      <w:r>
        <w:rPr>
          <w:rFonts w:ascii="Nimbus Roman" w:hAnsi="Nimbus Roman"/>
        </w:rPr>
        <w:t xml:space="preserve">», </w:t>
      </w:r>
      <w:hyperlink r:id="rId7">
        <w:r>
          <w:rPr>
            <w:rFonts w:ascii="Nimbus Roman" w:hAnsi="Nimbus Roman"/>
          </w:rPr>
          <w:t>«и</w:t>
        </w:r>
      </w:hyperlink>
      <w:r>
        <w:rPr>
          <w:rFonts w:ascii="Nimbus Roman" w:hAnsi="Nimbus Roman"/>
        </w:rPr>
        <w:t xml:space="preserve">», </w:t>
      </w:r>
      <w:hyperlink r:id="rId8">
        <w:r>
          <w:rPr>
            <w:rFonts w:ascii="Nimbus Roman" w:hAnsi="Nimbus Roman"/>
          </w:rPr>
          <w:t>«к</w:t>
        </w:r>
      </w:hyperlink>
      <w:r>
        <w:rPr>
          <w:rFonts w:ascii="Nimbus Roman" w:hAnsi="Nimbus Roman"/>
        </w:rPr>
        <w:t xml:space="preserve">» и </w:t>
      </w:r>
      <w:hyperlink r:id="rId9">
        <w:r>
          <w:rPr>
            <w:rFonts w:ascii="Nimbus Roman" w:hAnsi="Nimbus Roman"/>
          </w:rPr>
          <w:t>«л</w:t>
        </w:r>
      </w:hyperlink>
      <w:r>
        <w:rPr>
          <w:rFonts w:ascii="Nimbus Roman" w:hAnsi="Nimbus Roman"/>
        </w:rPr>
        <w:t xml:space="preserve">») Федерального закона от 12 июля 2002 года № 67-ФЗ «Об основных гарантиях избирательных прав и права на участие в референдуме граждан Российской Федерации», а также кандидатуры, в отношении </w:t>
      </w:r>
      <w:r>
        <w:rPr>
          <w:rFonts w:ascii="Nimbus Roman" w:hAnsi="Nimbus Roman"/>
        </w:rPr>
        <w:t>которых отсутствуют документы, необходимые для зачисления в резерв составов участковых избирательных комиссий в соответствии с указанным Порядком.</w:t>
      </w:r>
    </w:p>
    <w:sectPr w:rsidR="002C0C80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empora LGC Uni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imbus Roman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0"/>
  <w:characterSpacingControl w:val="doNotCompress"/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C80"/>
    <w:rsid w:val="002C0C80"/>
    <w:rsid w:val="00B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826CB7-6C65-4C3D-AA7C-E807F62D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empora LGC Uni" w:eastAsia="DejaVu Sans" w:hAnsi="Tempora LGC Uni" w:cs="Droid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No Spacing"/>
    <w:qFormat/>
    <w:rPr>
      <w:rFonts w:ascii="Calibri" w:eastAsia="Calibri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4566.2910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84566.291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84566.29108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84566.29107" TargetMode="External"/><Relationship Id="rId10" Type="http://schemas.openxmlformats.org/officeDocument/2006/relationships/fontTable" Target="fontTable.xml"/><Relationship Id="rId4" Type="http://schemas.openxmlformats.org/officeDocument/2006/relationships/hyperlink" Target="garantf1://84566.2901" TargetMode="External"/><Relationship Id="rId9" Type="http://schemas.openxmlformats.org/officeDocument/2006/relationships/hyperlink" Target="garantf1://84566.291011" TargetMode="Externa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dcterms:created xsi:type="dcterms:W3CDTF">2026-07-15T11:32:00Z</dcterms:created>
  <dcterms:modified xsi:type="dcterms:W3CDTF">2026-07-15T11:32:00Z</dcterms:modified>
  <dc:language>ru-RU</dc:language>
</cp:coreProperties>
</file>